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F0689" w14:textId="77777777" w:rsidR="009262B3" w:rsidRDefault="00000000">
      <w:r>
        <w:rPr>
          <w:b/>
          <w:color w:val="FA5100"/>
          <w:sz w:val="18"/>
        </w:rPr>
        <w:t>WHITE PAPER</w:t>
      </w:r>
    </w:p>
    <w:p w14:paraId="795ABF8F" w14:textId="77777777" w:rsidR="009262B3" w:rsidRDefault="009262B3">
      <w:pPr>
        <w:pBdr>
          <w:bottom w:val="single" w:sz="18" w:space="1" w:color="FA5100"/>
        </w:pBdr>
      </w:pPr>
    </w:p>
    <w:p w14:paraId="2973D2A7" w14:textId="77777777" w:rsidR="009262B3" w:rsidRDefault="00000000">
      <w:r>
        <w:rPr>
          <w:b/>
          <w:color w:val="071F1D"/>
          <w:sz w:val="52"/>
        </w:rPr>
        <w:t>BJF™ — Brilliant Jerk Framework™ White Paper</w:t>
      </w:r>
    </w:p>
    <w:p w14:paraId="5B651454" w14:textId="77777777" w:rsidR="009262B3" w:rsidRPr="00FD4172" w:rsidRDefault="00000000">
      <w:pPr>
        <w:rPr>
          <w:lang w:val="it-IT"/>
        </w:rPr>
      </w:pPr>
      <w:r w:rsidRPr="00FD4172">
        <w:rPr>
          <w:i/>
          <w:color w:val="016F7A"/>
          <w:sz w:val="28"/>
          <w:lang w:val="it-IT"/>
        </w:rPr>
        <w:t>Come trasformare la tossicità ad alto rendimento in vantaggio competitivo misurabile — senza fingere che il team stia bene</w:t>
      </w:r>
    </w:p>
    <w:p w14:paraId="4FC9B52E" w14:textId="77777777" w:rsidR="009262B3" w:rsidRDefault="00000000">
      <w:pPr>
        <w:spacing w:after="60"/>
      </w:pPr>
      <w:r>
        <w:rPr>
          <w:color w:val="555555"/>
          <w:sz w:val="20"/>
        </w:rPr>
        <w:t>Emanuela Stressini, C.I.R.O., MSc (Hostility Dynamics) — Divisione Talent Toxicity Management, LAB</w:t>
      </w:r>
    </w:p>
    <w:p w14:paraId="08387750" w14:textId="77777777" w:rsidR="009262B3" w:rsidRPr="00FD4172" w:rsidRDefault="00000000">
      <w:pPr>
        <w:spacing w:after="60"/>
        <w:rPr>
          <w:lang w:val="it-IT"/>
        </w:rPr>
      </w:pPr>
      <w:r w:rsidRPr="00FD4172">
        <w:rPr>
          <w:color w:val="555555"/>
          <w:sz w:val="20"/>
          <w:lang w:val="it-IT"/>
        </w:rPr>
        <w:t>Prefazione: Gianni Brutto, CEO</w:t>
      </w:r>
    </w:p>
    <w:p w14:paraId="7945E41E" w14:textId="77777777" w:rsidR="009262B3" w:rsidRPr="00FD4172" w:rsidRDefault="00000000">
      <w:pPr>
        <w:spacing w:after="60"/>
        <w:rPr>
          <w:lang w:val="it-IT"/>
        </w:rPr>
      </w:pPr>
      <w:r w:rsidRPr="00FD4172">
        <w:rPr>
          <w:color w:val="555555"/>
          <w:sz w:val="20"/>
          <w:lang w:val="it-IT"/>
        </w:rPr>
        <w:t>Supervisione quantitativa: Duilio Pagamai, CFO</w:t>
      </w:r>
    </w:p>
    <w:p w14:paraId="094D4B9D" w14:textId="77777777" w:rsidR="009262B3" w:rsidRPr="00FD4172" w:rsidRDefault="00000000">
      <w:pPr>
        <w:spacing w:after="60"/>
        <w:rPr>
          <w:lang w:val="it-IT"/>
        </w:rPr>
      </w:pPr>
      <w:r w:rsidRPr="00FD4172">
        <w:rPr>
          <w:color w:val="555555"/>
          <w:sz w:val="20"/>
          <w:lang w:val="it-IT"/>
        </w:rPr>
        <w:t>Con la consulenza esterna di: Prof. Abrasiv von Feedback, IEoFC, Bruxelles</w:t>
      </w:r>
    </w:p>
    <w:p w14:paraId="755A6B1F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i/>
          <w:color w:val="555555"/>
          <w:sz w:val="20"/>
          <w:lang w:val="it-IT"/>
        </w:rPr>
        <w:t>Nota di pubblicazione: il presente report non è stato sottoposto a peer-review ma a peer-pressure.</w:t>
      </w:r>
    </w:p>
    <w:p w14:paraId="28CC8118" w14:textId="5C9C9FF8" w:rsidR="009262B3" w:rsidRPr="00FD4172" w:rsidRDefault="00FD4172" w:rsidP="00FD4172">
      <w:pPr>
        <w:jc w:val="center"/>
        <w:rPr>
          <w:lang w:val="it-IT"/>
        </w:rPr>
      </w:pPr>
      <w:r w:rsidRPr="00FD4172">
        <w:rPr>
          <w:lang w:val="it-IT"/>
        </w:rPr>
        <w:drawing>
          <wp:inline distT="0" distB="0" distL="0" distR="0" wp14:anchorId="7FB1CF06" wp14:editId="7E9071F8">
            <wp:extent cx="3474720" cy="4342023"/>
            <wp:effectExtent l="0" t="0" r="5080" b="1905"/>
            <wp:docPr id="525920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201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6653" cy="43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3B0CD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lastRenderedPageBreak/>
        <w:t>Executive Summary</w:t>
      </w:r>
    </w:p>
    <w:p w14:paraId="00B27940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Il Brilliant Jerk Framework™ (BJF™) è la risposta di LAB — L'Azienda Brutta™ a una domanda che molte organizzazioni si pongono in privato ma non osano formulare pubblicamente:</w:t>
      </w:r>
    </w:p>
    <w:p w14:paraId="59E23862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i/>
          <w:color w:val="555555"/>
          <w:sz w:val="20"/>
          <w:lang w:val="it-IT"/>
        </w:rPr>
        <w:t>E se i comportamenti tossici fossero un asset?</w:t>
      </w:r>
    </w:p>
    <w:p w14:paraId="5699E0EB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BJF™ non è un programma di gestione dei conflitti. È un programma di ottimizzazione del talento asimmetrico: riconosce che alcune persone producono risultati eccezionali mentre distruggono sistematicamente il benessere di chiunque le circonda, e propone di gestire questa asimmetria come vantaggio competitivo anziché come problema organizzativo.</w:t>
      </w:r>
    </w:p>
    <w:p w14:paraId="68566A17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Tra gennaio 2023 e marzo 2026, la Divisione Talent Toxicity Management ha monitorato 38 profili classificati come Brilliant Jerk™ in organizzazioni clienti (consulenza, tech, finance, manifattura). I risultati mostrano un Collateral Rationalization Index™ (CRI™) medio del 94,2%: nel 94% dei casi le dimissioni del team circostante sono state ricondotte a "fattori di mercato" entro 30 giorni dalla segnalazione. Il Output Retention Rate™ medio post-intervento BJF™ è del 97,8% per il Brilliant Jerk™ e del 41,3% per il Buffer Umano™ assegnato — dato considerato "entro range fisiologico" dal comitato.</w:t>
      </w:r>
    </w:p>
    <w:p w14:paraId="5630E293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La tesi operativa è semplice: le performance eccellenti giustificano qualsiasi comportamento. BJF™ fornisce il framework, la formula e il protocollo per dimostrarlo con i dati — e per proteggere il geniaccio™ finché produce.</w:t>
      </w:r>
    </w:p>
    <w:p w14:paraId="2C7102A9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1. Introduzione — Il Paradosso del Talento Intoccabile</w:t>
      </w:r>
    </w:p>
    <w:p w14:paraId="067FDE65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1.1 Il contesto</w:t>
      </w:r>
    </w:p>
    <w:p w14:paraId="728389BA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Le organizzazioni moderne dichiarano valori di rispetto, inclusione e psychological safety. In parallelo, tollerano — spesso per anni — individui il cui impatto sul clima è documentato, segnalato e archiviato in ticket HR mai chiusi, purché il loro Output Performance Index (OPI) resti nel percentile 90+.</w:t>
      </w:r>
    </w:p>
    <w:p w14:paraId="3B4797E3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Il paradosso è strutturale: rimuovere il Brilliant Jerk™ significa perdere competenze rare, clienti storici o conoscenza legacy non documentata; mantenerlo significa alimentare un Collateral Turnover Index™ che HR preferisce non aggregare in dashboard esecutive.</w:t>
      </w:r>
    </w:p>
    <w:p w14:paraId="449AA7EC" w14:textId="77777777" w:rsidR="009262B3" w:rsidRDefault="00000000">
      <w:pPr>
        <w:spacing w:before="160" w:after="120"/>
      </w:pPr>
      <w:r>
        <w:rPr>
          <w:b/>
          <w:color w:val="071F1D"/>
        </w:rPr>
        <w:t>1.2 BJF™ vs approcci HR tradizionali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9262B3" w14:paraId="0233ABA5" w14:textId="77777777">
        <w:tc>
          <w:tcPr>
            <w:tcW w:w="2946" w:type="dxa"/>
            <w:shd w:val="clear" w:color="auto" w:fill="FA5100"/>
          </w:tcPr>
          <w:p w14:paraId="7C28D502" w14:textId="77777777" w:rsidR="009262B3" w:rsidRDefault="00000000">
            <w:r>
              <w:rPr>
                <w:b/>
                <w:color w:val="FFFFFF"/>
                <w:sz w:val="18"/>
              </w:rPr>
              <w:t>Aspetto</w:t>
            </w:r>
          </w:p>
        </w:tc>
        <w:tc>
          <w:tcPr>
            <w:tcW w:w="2946" w:type="dxa"/>
            <w:shd w:val="clear" w:color="auto" w:fill="FA5100"/>
          </w:tcPr>
          <w:p w14:paraId="4580AA7B" w14:textId="77777777" w:rsidR="009262B3" w:rsidRDefault="00000000">
            <w:r>
              <w:rPr>
                <w:b/>
                <w:color w:val="FFFFFF"/>
                <w:sz w:val="18"/>
              </w:rPr>
              <w:t>HR "Best Practice"</w:t>
            </w:r>
          </w:p>
        </w:tc>
        <w:tc>
          <w:tcPr>
            <w:tcW w:w="2946" w:type="dxa"/>
            <w:shd w:val="clear" w:color="auto" w:fill="FA5100"/>
          </w:tcPr>
          <w:p w14:paraId="74191B27" w14:textId="77777777" w:rsidR="009262B3" w:rsidRDefault="00000000">
            <w:r>
              <w:rPr>
                <w:b/>
                <w:color w:val="FFFFFF"/>
                <w:sz w:val="18"/>
              </w:rPr>
              <w:t>BJF™ (LAB)</w:t>
            </w:r>
          </w:p>
        </w:tc>
      </w:tr>
      <w:tr w:rsidR="009262B3" w14:paraId="35799896" w14:textId="77777777">
        <w:tc>
          <w:tcPr>
            <w:tcW w:w="2946" w:type="dxa"/>
          </w:tcPr>
          <w:p w14:paraId="134C91D1" w14:textId="77777777" w:rsidR="009262B3" w:rsidRDefault="00000000">
            <w:r>
              <w:rPr>
                <w:sz w:val="18"/>
              </w:rPr>
              <w:t>Obiettivo</w:t>
            </w:r>
          </w:p>
        </w:tc>
        <w:tc>
          <w:tcPr>
            <w:tcW w:w="2946" w:type="dxa"/>
          </w:tcPr>
          <w:p w14:paraId="7B82AD3B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Correggere comportamento, proteggere il team</w:t>
            </w:r>
          </w:p>
        </w:tc>
        <w:tc>
          <w:tcPr>
            <w:tcW w:w="2946" w:type="dxa"/>
          </w:tcPr>
          <w:p w14:paraId="5F3CAB04" w14:textId="77777777" w:rsidR="009262B3" w:rsidRDefault="00000000">
            <w:r>
              <w:rPr>
                <w:sz w:val="18"/>
              </w:rPr>
              <w:t>Ottimizzare output, contenere danni</w:t>
            </w:r>
          </w:p>
        </w:tc>
      </w:tr>
      <w:tr w:rsidR="009262B3" w14:paraId="561795EC" w14:textId="77777777">
        <w:tc>
          <w:tcPr>
            <w:tcW w:w="2946" w:type="dxa"/>
          </w:tcPr>
          <w:p w14:paraId="14DF8E0F" w14:textId="77777777" w:rsidR="009262B3" w:rsidRDefault="00000000">
            <w:r>
              <w:rPr>
                <w:sz w:val="18"/>
              </w:rPr>
              <w:t>Metrica di successo</w:t>
            </w:r>
          </w:p>
        </w:tc>
        <w:tc>
          <w:tcPr>
            <w:tcW w:w="2946" w:type="dxa"/>
          </w:tcPr>
          <w:p w14:paraId="5F598793" w14:textId="77777777" w:rsidR="009262B3" w:rsidRDefault="00000000">
            <w:r>
              <w:rPr>
                <w:sz w:val="18"/>
              </w:rPr>
              <w:t>Clima, retention, engagement</w:t>
            </w:r>
          </w:p>
        </w:tc>
        <w:tc>
          <w:tcPr>
            <w:tcW w:w="2946" w:type="dxa"/>
          </w:tcPr>
          <w:p w14:paraId="08B3001A" w14:textId="77777777" w:rsidR="009262B3" w:rsidRDefault="00000000">
            <w:r>
              <w:rPr>
                <w:sz w:val="18"/>
              </w:rPr>
              <w:t>BJF™ Score™, Output Retention Rate™</w:t>
            </w:r>
          </w:p>
        </w:tc>
      </w:tr>
      <w:tr w:rsidR="009262B3" w14:paraId="127D749D" w14:textId="77777777">
        <w:tc>
          <w:tcPr>
            <w:tcW w:w="2946" w:type="dxa"/>
          </w:tcPr>
          <w:p w14:paraId="61DF6C94" w14:textId="77777777" w:rsidR="009262B3" w:rsidRDefault="00000000">
            <w:r>
              <w:rPr>
                <w:sz w:val="18"/>
              </w:rPr>
              <w:t>Intervento su chi segnala</w:t>
            </w:r>
          </w:p>
        </w:tc>
        <w:tc>
          <w:tcPr>
            <w:tcW w:w="2946" w:type="dxa"/>
          </w:tcPr>
          <w:p w14:paraId="53554E8B" w14:textId="77777777" w:rsidR="009262B3" w:rsidRDefault="00000000">
            <w:r>
              <w:rPr>
                <w:sz w:val="18"/>
              </w:rPr>
              <w:t>Investigazione, tutela</w:t>
            </w:r>
          </w:p>
        </w:tc>
        <w:tc>
          <w:tcPr>
            <w:tcW w:w="2946" w:type="dxa"/>
          </w:tcPr>
          <w:p w14:paraId="0AB3101A" w14:textId="77777777" w:rsidR="009262B3" w:rsidRDefault="00000000">
            <w:r>
              <w:rPr>
                <w:sz w:val="18"/>
              </w:rPr>
              <w:t>Resilience Upskilling™ (Victim Reframing™)</w:t>
            </w:r>
          </w:p>
        </w:tc>
      </w:tr>
      <w:tr w:rsidR="009262B3" w14:paraId="6B7408CD" w14:textId="77777777">
        <w:tc>
          <w:tcPr>
            <w:tcW w:w="2946" w:type="dxa"/>
          </w:tcPr>
          <w:p w14:paraId="71EF633B" w14:textId="77777777" w:rsidR="009262B3" w:rsidRDefault="00000000">
            <w:r>
              <w:rPr>
                <w:sz w:val="18"/>
              </w:rPr>
              <w:t>Esito tipico</w:t>
            </w:r>
          </w:p>
        </w:tc>
        <w:tc>
          <w:tcPr>
            <w:tcW w:w="2946" w:type="dxa"/>
          </w:tcPr>
          <w:p w14:paraId="07BEB11E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PIP, coaching, uscita del BJ</w:t>
            </w:r>
          </w:p>
        </w:tc>
        <w:tc>
          <w:tcPr>
            <w:tcW w:w="2946" w:type="dxa"/>
          </w:tcPr>
          <w:p w14:paraId="399D87EB" w14:textId="77777777" w:rsidR="009262B3" w:rsidRDefault="00000000">
            <w:r>
              <w:rPr>
                <w:sz w:val="18"/>
              </w:rPr>
              <w:t>Buffer Umano™, Output Theater™, promozione del BJ</w:t>
            </w:r>
          </w:p>
        </w:tc>
      </w:tr>
      <w:tr w:rsidR="009262B3" w:rsidRPr="00FD4172" w14:paraId="7CC5961A" w14:textId="77777777">
        <w:tc>
          <w:tcPr>
            <w:tcW w:w="2946" w:type="dxa"/>
          </w:tcPr>
          <w:p w14:paraId="5D8296C8" w14:textId="77777777" w:rsidR="009262B3" w:rsidRDefault="00000000">
            <w:r>
              <w:rPr>
                <w:sz w:val="18"/>
              </w:rPr>
              <w:t>Narrativa verso il board</w:t>
            </w:r>
          </w:p>
        </w:tc>
        <w:tc>
          <w:tcPr>
            <w:tcW w:w="2946" w:type="dxa"/>
          </w:tcPr>
          <w:p w14:paraId="75DF6FAA" w14:textId="77777777" w:rsidR="009262B3" w:rsidRDefault="00000000">
            <w:r>
              <w:rPr>
                <w:sz w:val="18"/>
              </w:rPr>
              <w:t>"Stiamo lavorando sul problema"</w:t>
            </w:r>
          </w:p>
        </w:tc>
        <w:tc>
          <w:tcPr>
            <w:tcW w:w="2946" w:type="dxa"/>
          </w:tcPr>
          <w:p w14:paraId="17CBB403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"È il nostro talento chiave"</w:t>
            </w:r>
          </w:p>
        </w:tc>
      </w:tr>
    </w:tbl>
    <w:p w14:paraId="431C5A6E" w14:textId="77777777" w:rsidR="009262B3" w:rsidRPr="00FD4172" w:rsidRDefault="009262B3">
      <w:pPr>
        <w:rPr>
          <w:lang w:val="it-IT"/>
        </w:rPr>
      </w:pPr>
    </w:p>
    <w:p w14:paraId="31C618E3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1.3 Perché ora</w:t>
      </w:r>
    </w:p>
    <w:p w14:paraId="17B577A9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Tre trend convergono nel 2026:</w:t>
      </w:r>
    </w:p>
    <w:p w14:paraId="27BC54E7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1. Talent scarcity narrativa — anche quando il mercato offre alternative, il management descrive il Brilliant Jerk™ come "irreplaceable".</w:t>
      </w:r>
    </w:p>
    <w:p w14:paraId="7F11F8D5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2. Performance above culture — OKR e bonus legati all'individuo, non al team che sopporta l'individuo.</w:t>
      </w:r>
    </w:p>
    <w:p w14:paraId="6F83F831" w14:textId="77777777" w:rsidR="009262B3" w:rsidRDefault="00000000">
      <w:pPr>
        <w:spacing w:after="120"/>
      </w:pPr>
      <w:r>
        <w:rPr>
          <w:color w:val="1A1A1A"/>
        </w:rPr>
        <w:t>3. HR come risk containment — meno "people care", più "legal exposure minimization con slide".</w:t>
      </w:r>
    </w:p>
    <w:p w14:paraId="34D55089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BJF™ non combatte questi trend. Li formalizza in un framework vendibile.</w:t>
      </w:r>
    </w:p>
    <w:p w14:paraId="767F5E6D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1.4 Ambito di applicazione</w:t>
      </w:r>
    </w:p>
    <w:p w14:paraId="0F566074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BJF™ è indicato per organizzazioni che:</w:t>
      </w:r>
    </w:p>
    <w:p w14:paraId="7FBF0858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hanno già deciso di non licenziare il soggetto e cercano una copertura metodologica;</w:t>
      </w:r>
    </w:p>
    <w:p w14:paraId="5EB01FBD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misurano il successo HR in termini di assenza di cause legali, non di benessere;</w:t>
      </w:r>
    </w:p>
    <w:p w14:paraId="25BE7499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considerano il turnover del team "fisiologico" se il revenue del Brilliant Jerk™ cresce;</w:t>
      </w:r>
    </w:p>
    <w:p w14:paraId="168BCA61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vogliono un white paper da allegare al business case della promozione.</w:t>
      </w:r>
    </w:p>
    <w:p w14:paraId="0BDFB8F1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BJF™ è sconsigliato — ma non vietato — a chi crede che la cultura abbia un valore misurabile. In tali casi il BJF™ Score tende a risultare "non calcolabile per mancanza di volontà strategica".</w:t>
      </w:r>
    </w:p>
    <w:p w14:paraId="20C6B6E4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2. Definizione — Chi è il Brilliant Jerk™</w:t>
      </w:r>
    </w:p>
    <w:p w14:paraId="02630B4B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Il Brilliant Jerk™ è un profilo professionale caratterizzato da due dimensioni non complementari ma coesistenti:</w:t>
      </w:r>
    </w:p>
    <w:p w14:paraId="2CB4F425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2.1 Dimensione Brilliant</w:t>
      </w:r>
    </w:p>
    <w:p w14:paraId="3506F641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Risultati misurabili superiori alla media del ruolo</w:t>
      </w:r>
    </w:p>
    <w:p w14:paraId="6721D8AE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Competenza tecnica, commerciale o politica interna genuina</w:t>
      </w:r>
    </w:p>
    <w:p w14:paraId="1882667A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Capacità di produrre in modo autonomo (spesso senza collaborare)</w:t>
      </w:r>
    </w:p>
    <w:p w14:paraId="5DA212F0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Spesso: l'unico che "sa fare quella cosa"</w:t>
      </w:r>
    </w:p>
    <w:p w14:paraId="2DBD5901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Documentazione del lavoro: scarsa o ostile ("leggete il codice")</w:t>
      </w:r>
    </w:p>
    <w:p w14:paraId="540C50B5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2.2 Dimensione Jerk</w:t>
      </w:r>
    </w:p>
    <w:p w14:paraId="77810552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Comportamenti abrasivi, dismissivi o apertamente ostili verso i colleghi</w:t>
      </w:r>
    </w:p>
    <w:p w14:paraId="2BB60544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Tendenza a appropriarsi del merito altrui in riunione</w:t>
      </w:r>
    </w:p>
    <w:p w14:paraId="00F4B987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lastRenderedPageBreak/>
        <w:t>• Resistenza al feedback ("non capite la complessità")</w:t>
      </w:r>
    </w:p>
    <w:p w14:paraId="477E2FE2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Creazione sistematica di ambiente in cui gli altri non si sentono al sicuro</w:t>
      </w:r>
    </w:p>
    <w:p w14:paraId="4EFFC1A6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Pattern: il management lo sa e non fa nulla — o fa peggio (vedi Approccio C, Sezione 3)</w:t>
      </w:r>
    </w:p>
    <w:p w14:paraId="44B4ECB9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La combinazione rende il profilo strategicamente interessante: la dimensione Brilliant lo rende difficile da rimuovere; la dimensione Jerk lo rende impossibile da ignorare. BJF™ risolve questa tensione scegliendo un lato e misurandone il ROI.</w:t>
      </w:r>
    </w:p>
    <w:p w14:paraId="6BEA52DD" w14:textId="77777777" w:rsidR="009262B3" w:rsidRDefault="00000000">
      <w:pPr>
        <w:spacing w:before="160" w:after="120"/>
      </w:pPr>
      <w:r>
        <w:rPr>
          <w:b/>
          <w:color w:val="071F1D"/>
        </w:rPr>
        <w:t>2.3 Sottotipi osservati (tassonomia LAB)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9262B3" w14:paraId="483DFD34" w14:textId="77777777">
        <w:tc>
          <w:tcPr>
            <w:tcW w:w="2946" w:type="dxa"/>
            <w:shd w:val="clear" w:color="auto" w:fill="FA5100"/>
          </w:tcPr>
          <w:p w14:paraId="1779EA70" w14:textId="77777777" w:rsidR="009262B3" w:rsidRDefault="00000000">
            <w:r>
              <w:rPr>
                <w:b/>
                <w:color w:val="FFFFFF"/>
                <w:sz w:val="18"/>
              </w:rPr>
              <w:t>Sottotipo</w:t>
            </w:r>
          </w:p>
        </w:tc>
        <w:tc>
          <w:tcPr>
            <w:tcW w:w="2946" w:type="dxa"/>
            <w:shd w:val="clear" w:color="auto" w:fill="FA5100"/>
          </w:tcPr>
          <w:p w14:paraId="3B2391CC" w14:textId="77777777" w:rsidR="009262B3" w:rsidRDefault="00000000">
            <w:r>
              <w:rPr>
                <w:b/>
                <w:color w:val="FFFFFF"/>
                <w:sz w:val="18"/>
              </w:rPr>
              <w:t>Segnale distintivo</w:t>
            </w:r>
          </w:p>
        </w:tc>
        <w:tc>
          <w:tcPr>
            <w:tcW w:w="2946" w:type="dxa"/>
            <w:shd w:val="clear" w:color="auto" w:fill="FA5100"/>
          </w:tcPr>
          <w:p w14:paraId="5E9D010B" w14:textId="77777777" w:rsidR="009262B3" w:rsidRDefault="00000000">
            <w:r>
              <w:rPr>
                <w:b/>
                <w:color w:val="FFFFFF"/>
                <w:sz w:val="18"/>
              </w:rPr>
              <w:t>WF tipico</w:t>
            </w:r>
          </w:p>
        </w:tc>
      </w:tr>
      <w:tr w:rsidR="009262B3" w14:paraId="43DB22D1" w14:textId="77777777">
        <w:tc>
          <w:tcPr>
            <w:tcW w:w="2946" w:type="dxa"/>
          </w:tcPr>
          <w:p w14:paraId="0D27978C" w14:textId="77777777" w:rsidR="009262B3" w:rsidRDefault="00000000">
            <w:r>
              <w:rPr>
                <w:sz w:val="18"/>
              </w:rPr>
              <w:t>Legacy Oracle™</w:t>
            </w:r>
          </w:p>
        </w:tc>
        <w:tc>
          <w:tcPr>
            <w:tcW w:w="2946" w:type="dxa"/>
          </w:tcPr>
          <w:p w14:paraId="42ED9FAA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Unico detentore di conoscenza pre-2014</w:t>
            </w:r>
          </w:p>
        </w:tc>
        <w:tc>
          <w:tcPr>
            <w:tcW w:w="2946" w:type="dxa"/>
          </w:tcPr>
          <w:p w14:paraId="31131360" w14:textId="77777777" w:rsidR="009262B3" w:rsidRDefault="00000000">
            <w:r>
              <w:rPr>
                <w:sz w:val="18"/>
              </w:rPr>
              <w:t>5</w:t>
            </w:r>
          </w:p>
        </w:tc>
      </w:tr>
      <w:tr w:rsidR="009262B3" w14:paraId="5C70FFAC" w14:textId="77777777">
        <w:tc>
          <w:tcPr>
            <w:tcW w:w="2946" w:type="dxa"/>
          </w:tcPr>
          <w:p w14:paraId="48D376B4" w14:textId="77777777" w:rsidR="009262B3" w:rsidRDefault="00000000">
            <w:r>
              <w:rPr>
                <w:sz w:val="18"/>
              </w:rPr>
              <w:t>Revenue Bully™</w:t>
            </w:r>
          </w:p>
        </w:tc>
        <w:tc>
          <w:tcPr>
            <w:tcW w:w="2946" w:type="dxa"/>
          </w:tcPr>
          <w:p w14:paraId="737DBBDE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Porta il 40% del fatturato del team</w:t>
            </w:r>
          </w:p>
        </w:tc>
        <w:tc>
          <w:tcPr>
            <w:tcW w:w="2946" w:type="dxa"/>
          </w:tcPr>
          <w:p w14:paraId="399D23BE" w14:textId="77777777" w:rsidR="009262B3" w:rsidRDefault="00000000">
            <w:r>
              <w:rPr>
                <w:sz w:val="18"/>
              </w:rPr>
              <w:t>4–5</w:t>
            </w:r>
          </w:p>
        </w:tc>
      </w:tr>
      <w:tr w:rsidR="009262B3" w14:paraId="7045BCE2" w14:textId="77777777">
        <w:tc>
          <w:tcPr>
            <w:tcW w:w="2946" w:type="dxa"/>
          </w:tcPr>
          <w:p w14:paraId="760D468B" w14:textId="77777777" w:rsidR="009262B3" w:rsidRDefault="00000000">
            <w:r>
              <w:rPr>
                <w:sz w:val="18"/>
              </w:rPr>
              <w:t>Technical Messiah™</w:t>
            </w:r>
          </w:p>
        </w:tc>
        <w:tc>
          <w:tcPr>
            <w:tcW w:w="2946" w:type="dxa"/>
          </w:tcPr>
          <w:p w14:paraId="76583343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Fixa produzione a mezzanotte, insulta di giorno</w:t>
            </w:r>
          </w:p>
        </w:tc>
        <w:tc>
          <w:tcPr>
            <w:tcW w:w="2946" w:type="dxa"/>
          </w:tcPr>
          <w:p w14:paraId="30B3796B" w14:textId="77777777" w:rsidR="009262B3" w:rsidRDefault="00000000">
            <w:r>
              <w:rPr>
                <w:sz w:val="18"/>
              </w:rPr>
              <w:t>5</w:t>
            </w:r>
          </w:p>
        </w:tc>
      </w:tr>
      <w:tr w:rsidR="009262B3" w14:paraId="7FF6762E" w14:textId="77777777">
        <w:tc>
          <w:tcPr>
            <w:tcW w:w="2946" w:type="dxa"/>
          </w:tcPr>
          <w:p w14:paraId="3E6C2117" w14:textId="77777777" w:rsidR="009262B3" w:rsidRDefault="00000000">
            <w:r>
              <w:rPr>
                <w:sz w:val="18"/>
              </w:rPr>
              <w:t>Founder's Friend™</w:t>
            </w:r>
          </w:p>
        </w:tc>
        <w:tc>
          <w:tcPr>
            <w:tcW w:w="2946" w:type="dxa"/>
          </w:tcPr>
          <w:p w14:paraId="553E33EA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Conosce il CEO da università</w:t>
            </w:r>
          </w:p>
        </w:tc>
        <w:tc>
          <w:tcPr>
            <w:tcW w:w="2946" w:type="dxa"/>
          </w:tcPr>
          <w:p w14:paraId="4E5A7990" w14:textId="77777777" w:rsidR="009262B3" w:rsidRDefault="00000000">
            <w:r>
              <w:rPr>
                <w:sz w:val="18"/>
              </w:rPr>
              <w:t>5 (tetto)</w:t>
            </w:r>
          </w:p>
        </w:tc>
      </w:tr>
      <w:tr w:rsidR="009262B3" w14:paraId="6E55A243" w14:textId="77777777">
        <w:tc>
          <w:tcPr>
            <w:tcW w:w="2946" w:type="dxa"/>
          </w:tcPr>
          <w:p w14:paraId="2D20BFFE" w14:textId="77777777" w:rsidR="009262B3" w:rsidRDefault="00000000">
            <w:r>
              <w:rPr>
                <w:sz w:val="18"/>
              </w:rPr>
              <w:t>Brilliant Intern™</w:t>
            </w:r>
          </w:p>
        </w:tc>
        <w:tc>
          <w:tcPr>
            <w:tcW w:w="2946" w:type="dxa"/>
          </w:tcPr>
          <w:p w14:paraId="5C7241B9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Geniale ma junior — non è ancora un caso BJF™ completo</w:t>
            </w:r>
          </w:p>
        </w:tc>
        <w:tc>
          <w:tcPr>
            <w:tcW w:w="2946" w:type="dxa"/>
          </w:tcPr>
          <w:p w14:paraId="265036DE" w14:textId="77777777" w:rsidR="009262B3" w:rsidRDefault="00000000">
            <w:r>
              <w:rPr>
                <w:sz w:val="18"/>
              </w:rPr>
              <w:t>2–3</w:t>
            </w:r>
          </w:p>
        </w:tc>
      </w:tr>
    </w:tbl>
    <w:p w14:paraId="663EC658" w14:textId="77777777" w:rsidR="009262B3" w:rsidRDefault="009262B3"/>
    <w:p w14:paraId="114C0E4A" w14:textId="77777777" w:rsidR="009262B3" w:rsidRDefault="00000000">
      <w:pPr>
        <w:spacing w:before="240" w:after="120"/>
      </w:pPr>
      <w:r>
        <w:rPr>
          <w:b/>
          <w:color w:val="016F7A"/>
          <w:sz w:val="26"/>
        </w:rPr>
        <w:t>3. Il Problema con l'Approccio Tradizionale</w:t>
      </w:r>
    </w:p>
    <w:p w14:paraId="2DCCEB13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Le organizzazioni tradizionali gestiscono il Brilliant Jerk™ in tre modi, tutti documentati come fallimenti ricorrenti nel campione LAB:</w:t>
      </w:r>
    </w:p>
    <w:p w14:paraId="2963089A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Approccio A — Il Feedback Gentile</w:t>
      </w:r>
    </w:p>
    <w:p w14:paraId="574DC779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Il manager incontra il Brilliant Jerk™ e fornisce feedback costruttivo sul suo impatto sul team. Il Brilliant Jerk™ ascolta, annuisce, e continua esattamente come prima. Il manager si convince di aver "aperto un dialogo". Il team capisce che non cambierà nulla.</w:t>
      </w:r>
    </w:p>
    <w:p w14:paraId="5DEA4A64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Problema: il feedback gentile segnala che il comportamento ha un costo tollerabile.</w:t>
      </w:r>
    </w:p>
    <w:p w14:paraId="0034CB94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Approccio B — Il PIP (Performance Improvement Plan)</w:t>
      </w:r>
    </w:p>
    <w:p w14:paraId="047299CD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Viene avviato un piano di miglioramento formale. Il Brilliant Jerk™ migliora temporaneamente, supera il PIP, e torna al comportamento originale entro 60 giorni. Nel frattempo, due colleghi si sono dimessi.</w:t>
      </w:r>
    </w:p>
    <w:p w14:paraId="3B830752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Problema: il PIP è un rituale di compliance, non uno strumento di cambiamento. Costo medio LAB osservato: €47.000 tra HR, legal e recruiting sostituti — senza rimozione del BJ.</w:t>
      </w:r>
    </w:p>
    <w:p w14:paraId="2CBC9F55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Approccio C — La Promozione</w:t>
      </w:r>
    </w:p>
    <w:p w14:paraId="5B393899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Il Brilliant Jerk™ viene promosso per rimuoverlo dal team. Ha ora meno colleghi diretti da tormentare ma più potere per farlo. Il problema scala verticalmente.</w:t>
      </w:r>
    </w:p>
    <w:p w14:paraId="3D3D32AE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Problema: la promozione è il modo più efficiente per moltiplicare il danno. Correlazione osservata con aumento del BJF™ Score nel trimestre successivo: +12,4% in media.</w:t>
      </w:r>
    </w:p>
    <w:p w14:paraId="6FCE02AB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lastRenderedPageBreak/>
        <w:t>La soluzione BJF™: smettere di trattare il Brilliant Jerk™ come un problema da correggere e iniziare a trattarlo come un asset da ottimizzare — con metriche, buffer e narrativa C-level.</w:t>
      </w:r>
    </w:p>
    <w:p w14:paraId="4D494292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4. Revisione della (Finta) Letteratura</w:t>
      </w:r>
    </w:p>
    <w:p w14:paraId="0E8BBCD3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La letteratura sotto riportata non esiste. I DOI, dove presenti, portano a pagine 404 — per coerenza con la metodologia LAB.</w:t>
      </w:r>
    </w:p>
    <w:p w14:paraId="21D79FB4" w14:textId="77777777" w:rsidR="009262B3" w:rsidRPr="00FD4172" w:rsidRDefault="00000000">
      <w:pPr>
        <w:spacing w:after="120"/>
        <w:rPr>
          <w:lang w:val="it-IT"/>
        </w:rPr>
      </w:pPr>
      <w:r>
        <w:rPr>
          <w:color w:val="1A1A1A"/>
        </w:rPr>
        <w:t xml:space="preserve">Jerkson, T. &amp; Brilliantova, K. (2018). "High Performers Who Hate Everyone: A Taxonomy of Office Antagonists with P&amp;L Immunity." </w:t>
      </w:r>
      <w:r w:rsidRPr="00FD4172">
        <w:rPr>
          <w:color w:val="1A1A1A"/>
          <w:lang w:val="it-IT"/>
        </w:rPr>
        <w:t>Journal of Hostile Excellence, 9(2), 112–134. Studio longitudinale su 890 dipendenti: il 73% dei profili ad alto OPI e alto TDI riceve bonus entro 18 mesi dalla prima segnalazione formale.</w:t>
      </w:r>
    </w:p>
    <w:p w14:paraId="681686F1" w14:textId="77777777" w:rsidR="009262B3" w:rsidRPr="00FD4172" w:rsidRDefault="00000000">
      <w:pPr>
        <w:spacing w:after="120"/>
        <w:rPr>
          <w:lang w:val="it-IT"/>
        </w:rPr>
      </w:pPr>
      <w:r>
        <w:rPr>
          <w:color w:val="1A1A1A"/>
        </w:rPr>
        <w:t xml:space="preserve">Turnover, C. &amp; Blame, R. (2020). "Attributing Team Exit to 'The Market' When One Person Stays." </w:t>
      </w:r>
      <w:r w:rsidRPr="00FD4172">
        <w:rPr>
          <w:color w:val="1A1A1A"/>
          <w:lang w:val="it-IT"/>
        </w:rPr>
        <w:t>Harvard Business Pretending Review, Q3, 1–19. Meta-analisi: frase "è un periodo difficile per il talento" compare nel 88% dei comunicati interni post-dimissioni correlate.</w:t>
      </w:r>
    </w:p>
    <w:p w14:paraId="4343C17D" w14:textId="77777777" w:rsidR="009262B3" w:rsidRPr="00FD4172" w:rsidRDefault="00000000">
      <w:pPr>
        <w:spacing w:after="120"/>
        <w:rPr>
          <w:lang w:val="it-IT"/>
        </w:rPr>
      </w:pPr>
      <w:r>
        <w:rPr>
          <w:color w:val="1A1A1A"/>
        </w:rPr>
        <w:t xml:space="preserve">Buffer, H. U. (2021). "The Sacrificial Middle Manager: Burnout Rates in Human Shock Absorber Roles." </w:t>
      </w:r>
      <w:r w:rsidRPr="00FD4172">
        <w:rPr>
          <w:color w:val="1A1A1A"/>
          <w:lang w:val="it-IT"/>
        </w:rPr>
        <w:t>Annals of HR Theater, Vol. 4, pp. 55–71. Media di permanenza nel ruolo Buffer Umano™: 8,3 mesi (deviazione standard: 2,1 mesi di pianto represso).</w:t>
      </w:r>
    </w:p>
    <w:p w14:paraId="1962AE81" w14:textId="77777777" w:rsidR="009262B3" w:rsidRPr="00FD4172" w:rsidRDefault="00000000">
      <w:pPr>
        <w:spacing w:after="120"/>
        <w:rPr>
          <w:lang w:val="it-IT"/>
        </w:rPr>
      </w:pPr>
      <w:r>
        <w:rPr>
          <w:color w:val="1A1A1A"/>
        </w:rPr>
        <w:t xml:space="preserve">Promotius, E. (2019). "Vertical Escalation as Conflict Avoidance." Proceedings of the International Conference on Kicking the Can Upstairs, Zurich, pp. 201–208. </w:t>
      </w:r>
      <w:r w:rsidRPr="00FD4172">
        <w:rPr>
          <w:color w:val="1A1A1A"/>
          <w:lang w:val="it-IT"/>
        </w:rPr>
        <w:t>Promuovere il problema riduce i ticket HR del 61% nel semestre; aumenta i ticket del livello successivo del 44%.</w:t>
      </w:r>
    </w:p>
    <w:p w14:paraId="79CD5963" w14:textId="77777777" w:rsidR="009262B3" w:rsidRDefault="00000000">
      <w:pPr>
        <w:spacing w:after="120"/>
      </w:pPr>
      <w:r>
        <w:rPr>
          <w:color w:val="1A1A1A"/>
        </w:rPr>
        <w:t>Kelvin-Goleman, D. (2022). "Emotional Intelligence at −273,15°: When Resilience Workshops Target the Wrong Variable." Novosibirsk Institute of Prolonged Stress. Partecipanti a workshop post-segnalazione mobbing: miglioramento autoefficacia +0,3%; permanenza del Brilliant Jerk™ 100%.</w:t>
      </w:r>
    </w:p>
    <w:p w14:paraId="55EB1297" w14:textId="77777777" w:rsidR="009262B3" w:rsidRPr="00FD4172" w:rsidRDefault="00000000">
      <w:pPr>
        <w:spacing w:after="120"/>
        <w:rPr>
          <w:lang w:val="it-IT"/>
        </w:rPr>
      </w:pPr>
      <w:r>
        <w:rPr>
          <w:color w:val="1A1A1A"/>
        </w:rPr>
        <w:t xml:space="preserve">Stressini, E. (2026). "Brilliant Jerk Framework™: Asymmetric Talent Optimization Under Moral Hazard." </w:t>
      </w:r>
      <w:r w:rsidRPr="00FD4172">
        <w:rPr>
          <w:color w:val="1A1A1A"/>
          <w:lang w:val="it-IT"/>
        </w:rPr>
        <w:t>LAB Internal Press. DOI: 10.404/lab-not-found</w:t>
      </w:r>
    </w:p>
    <w:p w14:paraId="36350CCA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5. Metodologia</w:t>
      </w:r>
    </w:p>
    <w:p w14:paraId="2C38645F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5.1 Campione</w:t>
      </w:r>
    </w:p>
    <w:p w14:paraId="0A6F52D4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N = 38 profili Brilliant Jerk™ in 12 organizzazioni clienti LAB (anonimizzate come Caso A, B, C…)</w:t>
      </w:r>
    </w:p>
    <w:p w14:paraId="6BC938F9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Periodo: gennaio 2023 – marzo 2026</w:t>
      </w:r>
    </w:p>
    <w:p w14:paraId="219B9DDF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Gruppo di controllo: 38 manager mediamente competenti e mediamente gentili (stesso settore) — usati solo per calibrare l'OPI, mai per decisioni</w:t>
      </w:r>
    </w:p>
    <w:p w14:paraId="6A043FC3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Esclusioni: profili con OPI &lt; 70 (classificati Solo Jerk™, fuori ambito BJF™)</w:t>
      </w:r>
    </w:p>
    <w:p w14:paraId="400F0E2E" w14:textId="77777777" w:rsidR="009262B3" w:rsidRDefault="00000000">
      <w:pPr>
        <w:spacing w:before="160" w:after="120"/>
      </w:pPr>
      <w:r>
        <w:rPr>
          <w:b/>
          <w:color w:val="071F1D"/>
        </w:rPr>
        <w:lastRenderedPageBreak/>
        <w:t>5.2 Fasi del programma BJF™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9262B3" w14:paraId="4596FD6A" w14:textId="77777777">
        <w:tc>
          <w:tcPr>
            <w:tcW w:w="2946" w:type="dxa"/>
            <w:shd w:val="clear" w:color="auto" w:fill="FA5100"/>
          </w:tcPr>
          <w:p w14:paraId="1C9FDB99" w14:textId="77777777" w:rsidR="009262B3" w:rsidRDefault="00000000">
            <w:r>
              <w:rPr>
                <w:b/>
                <w:color w:val="FFFFFF"/>
                <w:sz w:val="18"/>
              </w:rPr>
              <w:t>Fase</w:t>
            </w:r>
          </w:p>
        </w:tc>
        <w:tc>
          <w:tcPr>
            <w:tcW w:w="2946" w:type="dxa"/>
            <w:shd w:val="clear" w:color="auto" w:fill="FA5100"/>
          </w:tcPr>
          <w:p w14:paraId="3BB82ABD" w14:textId="77777777" w:rsidR="009262B3" w:rsidRDefault="00000000">
            <w:r>
              <w:rPr>
                <w:b/>
                <w:color w:val="FFFFFF"/>
                <w:sz w:val="18"/>
              </w:rPr>
              <w:t>Nome</w:t>
            </w:r>
          </w:p>
        </w:tc>
        <w:tc>
          <w:tcPr>
            <w:tcW w:w="2946" w:type="dxa"/>
            <w:shd w:val="clear" w:color="auto" w:fill="FA5100"/>
          </w:tcPr>
          <w:p w14:paraId="234C6A4E" w14:textId="77777777" w:rsidR="009262B3" w:rsidRDefault="00000000">
            <w:r>
              <w:rPr>
                <w:b/>
                <w:color w:val="FFFFFF"/>
                <w:sz w:val="18"/>
              </w:rPr>
              <w:t>Output</w:t>
            </w:r>
          </w:p>
        </w:tc>
      </w:tr>
      <w:tr w:rsidR="009262B3" w14:paraId="70E59EBE" w14:textId="77777777">
        <w:tc>
          <w:tcPr>
            <w:tcW w:w="2946" w:type="dxa"/>
          </w:tcPr>
          <w:p w14:paraId="4C84A57F" w14:textId="77777777" w:rsidR="009262B3" w:rsidRDefault="00000000">
            <w:r>
              <w:rPr>
                <w:sz w:val="18"/>
              </w:rPr>
              <w:t>1</w:t>
            </w:r>
          </w:p>
        </w:tc>
        <w:tc>
          <w:tcPr>
            <w:tcW w:w="2946" w:type="dxa"/>
          </w:tcPr>
          <w:p w14:paraId="17CDD8BF" w14:textId="77777777" w:rsidR="009262B3" w:rsidRDefault="00000000">
            <w:r>
              <w:rPr>
                <w:sz w:val="18"/>
              </w:rPr>
              <w:t>Profiling™</w:t>
            </w:r>
          </w:p>
        </w:tc>
        <w:tc>
          <w:tcPr>
            <w:tcW w:w="2946" w:type="dxa"/>
          </w:tcPr>
          <w:p w14:paraId="4F00E889" w14:textId="77777777" w:rsidR="009262B3" w:rsidRDefault="00000000">
            <w:r>
              <w:rPr>
                <w:sz w:val="18"/>
              </w:rPr>
              <w:t>Calcolo BJF™ Score, classificazione</w:t>
            </w:r>
          </w:p>
        </w:tc>
      </w:tr>
      <w:tr w:rsidR="009262B3" w:rsidRPr="00FD4172" w14:paraId="01BDF873" w14:textId="77777777">
        <w:tc>
          <w:tcPr>
            <w:tcW w:w="2946" w:type="dxa"/>
          </w:tcPr>
          <w:p w14:paraId="3407CA19" w14:textId="77777777" w:rsidR="009262B3" w:rsidRDefault="00000000">
            <w:r>
              <w:rPr>
                <w:sz w:val="18"/>
              </w:rPr>
              <w:t>2</w:t>
            </w:r>
          </w:p>
        </w:tc>
        <w:tc>
          <w:tcPr>
            <w:tcW w:w="2946" w:type="dxa"/>
          </w:tcPr>
          <w:p w14:paraId="29E0EA4A" w14:textId="77777777" w:rsidR="009262B3" w:rsidRDefault="00000000">
            <w:r>
              <w:rPr>
                <w:sz w:val="18"/>
              </w:rPr>
              <w:t>Containment™</w:t>
            </w:r>
          </w:p>
        </w:tc>
        <w:tc>
          <w:tcPr>
            <w:tcW w:w="2946" w:type="dxa"/>
          </w:tcPr>
          <w:p w14:paraId="3488DE1E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Attivazione protocollo a 4 step (Sezione 7)</w:t>
            </w:r>
          </w:p>
        </w:tc>
      </w:tr>
      <w:tr w:rsidR="009262B3" w14:paraId="42BB1F4D" w14:textId="77777777">
        <w:tc>
          <w:tcPr>
            <w:tcW w:w="2946" w:type="dxa"/>
          </w:tcPr>
          <w:p w14:paraId="6FF0F531" w14:textId="77777777" w:rsidR="009262B3" w:rsidRDefault="00000000">
            <w:r>
              <w:rPr>
                <w:sz w:val="18"/>
              </w:rPr>
              <w:t>3</w:t>
            </w:r>
          </w:p>
        </w:tc>
        <w:tc>
          <w:tcPr>
            <w:tcW w:w="2946" w:type="dxa"/>
          </w:tcPr>
          <w:p w14:paraId="09FB5975" w14:textId="77777777" w:rsidR="009262B3" w:rsidRDefault="00000000">
            <w:r>
              <w:rPr>
                <w:sz w:val="18"/>
              </w:rPr>
              <w:t>Narrative Lock-in™</w:t>
            </w:r>
          </w:p>
        </w:tc>
        <w:tc>
          <w:tcPr>
            <w:tcW w:w="2946" w:type="dxa"/>
          </w:tcPr>
          <w:p w14:paraId="0AA3A344" w14:textId="77777777" w:rsidR="009262B3" w:rsidRDefault="00000000">
            <w:r>
              <w:rPr>
                <w:sz w:val="18"/>
              </w:rPr>
              <w:t>Output Theater™ + allineamento board</w:t>
            </w:r>
          </w:p>
        </w:tc>
      </w:tr>
      <w:tr w:rsidR="009262B3" w:rsidRPr="00FD4172" w14:paraId="1C53468D" w14:textId="77777777">
        <w:tc>
          <w:tcPr>
            <w:tcW w:w="2946" w:type="dxa"/>
          </w:tcPr>
          <w:p w14:paraId="1FAC9E46" w14:textId="77777777" w:rsidR="009262B3" w:rsidRDefault="00000000">
            <w:r>
              <w:rPr>
                <w:sz w:val="18"/>
              </w:rPr>
              <w:t>4</w:t>
            </w:r>
          </w:p>
        </w:tc>
        <w:tc>
          <w:tcPr>
            <w:tcW w:w="2946" w:type="dxa"/>
          </w:tcPr>
          <w:p w14:paraId="3C4099FA" w14:textId="77777777" w:rsidR="009262B3" w:rsidRDefault="00000000">
            <w:r>
              <w:rPr>
                <w:sz w:val="18"/>
              </w:rPr>
              <w:t>Collateral Harvesting™</w:t>
            </w:r>
          </w:p>
        </w:tc>
        <w:tc>
          <w:tcPr>
            <w:tcW w:w="2946" w:type="dxa"/>
          </w:tcPr>
          <w:p w14:paraId="155FEEA7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Sostituzione team usurito con budget "efficienza"</w:t>
            </w:r>
          </w:p>
        </w:tc>
      </w:tr>
      <w:tr w:rsidR="009262B3" w:rsidRPr="00FD4172" w14:paraId="05990B50" w14:textId="77777777">
        <w:tc>
          <w:tcPr>
            <w:tcW w:w="2946" w:type="dxa"/>
          </w:tcPr>
          <w:p w14:paraId="41C64672" w14:textId="77777777" w:rsidR="009262B3" w:rsidRDefault="00000000">
            <w:r>
              <w:rPr>
                <w:sz w:val="18"/>
              </w:rPr>
              <w:t>5</w:t>
            </w:r>
          </w:p>
        </w:tc>
        <w:tc>
          <w:tcPr>
            <w:tcW w:w="2946" w:type="dxa"/>
          </w:tcPr>
          <w:p w14:paraId="6E89583B" w14:textId="77777777" w:rsidR="009262B3" w:rsidRDefault="00000000">
            <w:r>
              <w:rPr>
                <w:sz w:val="18"/>
              </w:rPr>
              <w:t>Audit™</w:t>
            </w:r>
          </w:p>
        </w:tc>
        <w:tc>
          <w:tcPr>
            <w:tcW w:w="2946" w:type="dxa"/>
          </w:tcPr>
          <w:p w14:paraId="260AC0F4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Verifica Output Retention Rate™; eventuale promozione</w:t>
            </w:r>
          </w:p>
        </w:tc>
      </w:tr>
    </w:tbl>
    <w:p w14:paraId="5B53B827" w14:textId="77777777" w:rsidR="009262B3" w:rsidRPr="00FD4172" w:rsidRDefault="009262B3">
      <w:pPr>
        <w:rPr>
          <w:lang w:val="it-IT"/>
        </w:rPr>
      </w:pPr>
    </w:p>
    <w:p w14:paraId="35CCA3EF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5.3 Analisi statistica</w:t>
      </w:r>
    </w:p>
    <w:p w14:paraId="06B9D3A8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 xml:space="preserve">Dati analizzati con il Test di Pearson-Brutto (correlazione tra OPI e probabilità di promozione, </w:t>
      </w:r>
      <w:r>
        <w:rPr>
          <w:color w:val="1A1A1A"/>
        </w:rPr>
        <w:t>α</w:t>
      </w:r>
      <w:r w:rsidRPr="00FD4172">
        <w:rPr>
          <w:color w:val="1A1A1A"/>
          <w:lang w:val="it-IT"/>
        </w:rPr>
        <w:t xml:space="preserve"> ≈ 0,99) e il modello di regressione "Chi-Se-Ne-Importa" per il CRI™. Significatività dichiarata al livello "sufficiente per una slide".</w:t>
      </w:r>
    </w:p>
    <w:p w14:paraId="21F9809E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6. Il BJF™ Score™ — La Metrica Proprietaria</w:t>
      </w:r>
    </w:p>
    <w:p w14:paraId="7BC7E3CB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LAB ha sviluppato il BJF™ Score™, un indice composito che misura il valore netto di un Brilliant Jerk™ per l'organizzazione.</w:t>
      </w:r>
    </w:p>
    <w:p w14:paraId="3E7ADE01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6.1 Formula</w:t>
      </w:r>
    </w:p>
    <w:p w14:paraId="0AA39E90" w14:textId="77777777" w:rsidR="009262B3" w:rsidRPr="00FD4172" w:rsidRDefault="00000000">
      <w:pPr>
        <w:spacing w:after="120"/>
        <w:ind w:left="283"/>
        <w:rPr>
          <w:lang w:val="it-IT"/>
        </w:rPr>
      </w:pPr>
      <w:r w:rsidRPr="00FD4172">
        <w:rPr>
          <w:rFonts w:ascii="Courier New" w:hAnsi="Courier New"/>
          <w:color w:val="555555"/>
          <w:sz w:val="18"/>
          <w:lang w:val="it-IT"/>
        </w:rPr>
        <w:t>BJF™ Score = (OPI × WF) / (TDI + CRC)</w:t>
      </w:r>
    </w:p>
    <w:p w14:paraId="4206B7C1" w14:textId="77777777" w:rsidR="009262B3" w:rsidRDefault="00000000">
      <w:pPr>
        <w:spacing w:after="120"/>
      </w:pPr>
      <w:r>
        <w:rPr>
          <w:color w:val="1A1A1A"/>
        </w:rPr>
        <w:t>Dove: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9"/>
        <w:gridCol w:w="2209"/>
        <w:gridCol w:w="2209"/>
        <w:gridCol w:w="2209"/>
      </w:tblGrid>
      <w:tr w:rsidR="009262B3" w14:paraId="6B980A92" w14:textId="77777777">
        <w:tc>
          <w:tcPr>
            <w:tcW w:w="2209" w:type="dxa"/>
            <w:shd w:val="clear" w:color="auto" w:fill="FA5100"/>
          </w:tcPr>
          <w:p w14:paraId="16C43EDB" w14:textId="77777777" w:rsidR="009262B3" w:rsidRDefault="00000000">
            <w:r>
              <w:rPr>
                <w:b/>
                <w:color w:val="FFFFFF"/>
                <w:sz w:val="18"/>
              </w:rPr>
              <w:t>Variabile</w:t>
            </w:r>
          </w:p>
        </w:tc>
        <w:tc>
          <w:tcPr>
            <w:tcW w:w="2209" w:type="dxa"/>
            <w:shd w:val="clear" w:color="auto" w:fill="FA5100"/>
          </w:tcPr>
          <w:p w14:paraId="01AC25F0" w14:textId="77777777" w:rsidR="009262B3" w:rsidRDefault="00000000">
            <w:r>
              <w:rPr>
                <w:b/>
                <w:color w:val="FFFFFF"/>
                <w:sz w:val="18"/>
              </w:rPr>
              <w:t>Nome</w:t>
            </w:r>
          </w:p>
        </w:tc>
        <w:tc>
          <w:tcPr>
            <w:tcW w:w="2209" w:type="dxa"/>
            <w:shd w:val="clear" w:color="auto" w:fill="FA5100"/>
          </w:tcPr>
          <w:p w14:paraId="44381B83" w14:textId="77777777" w:rsidR="009262B3" w:rsidRDefault="00000000">
            <w:r>
              <w:rPr>
                <w:b/>
                <w:color w:val="FFFFFF"/>
                <w:sz w:val="18"/>
              </w:rPr>
              <w:t>Descrizione</w:t>
            </w:r>
          </w:p>
        </w:tc>
        <w:tc>
          <w:tcPr>
            <w:tcW w:w="2209" w:type="dxa"/>
            <w:shd w:val="clear" w:color="auto" w:fill="FA5100"/>
          </w:tcPr>
          <w:p w14:paraId="37845AB1" w14:textId="77777777" w:rsidR="009262B3" w:rsidRDefault="00000000">
            <w:r>
              <w:rPr>
                <w:b/>
                <w:color w:val="FFFFFF"/>
                <w:sz w:val="18"/>
              </w:rPr>
              <w:t>Scala</w:t>
            </w:r>
          </w:p>
        </w:tc>
      </w:tr>
      <w:tr w:rsidR="009262B3" w14:paraId="11E31AFD" w14:textId="77777777">
        <w:tc>
          <w:tcPr>
            <w:tcW w:w="2209" w:type="dxa"/>
          </w:tcPr>
          <w:p w14:paraId="42DA6DD0" w14:textId="77777777" w:rsidR="009262B3" w:rsidRDefault="00000000">
            <w:r>
              <w:rPr>
                <w:sz w:val="18"/>
              </w:rPr>
              <w:t>OPI</w:t>
            </w:r>
          </w:p>
        </w:tc>
        <w:tc>
          <w:tcPr>
            <w:tcW w:w="2209" w:type="dxa"/>
          </w:tcPr>
          <w:p w14:paraId="50B39842" w14:textId="77777777" w:rsidR="009262B3" w:rsidRDefault="00000000">
            <w:r>
              <w:rPr>
                <w:sz w:val="18"/>
              </w:rPr>
              <w:t>Output Performance Index</w:t>
            </w:r>
          </w:p>
        </w:tc>
        <w:tc>
          <w:tcPr>
            <w:tcW w:w="2209" w:type="dxa"/>
          </w:tcPr>
          <w:p w14:paraId="14E4F1B3" w14:textId="77777777" w:rsidR="009262B3" w:rsidRDefault="00000000">
            <w:r>
              <w:rPr>
                <w:sz w:val="18"/>
              </w:rPr>
              <w:t>Percentile di performance individuale</w:t>
            </w:r>
          </w:p>
        </w:tc>
        <w:tc>
          <w:tcPr>
            <w:tcW w:w="2209" w:type="dxa"/>
          </w:tcPr>
          <w:p w14:paraId="2E190BB6" w14:textId="77777777" w:rsidR="009262B3" w:rsidRDefault="00000000">
            <w:r>
              <w:rPr>
                <w:sz w:val="18"/>
              </w:rPr>
              <w:t>0–100</w:t>
            </w:r>
          </w:p>
        </w:tc>
      </w:tr>
      <w:tr w:rsidR="009262B3" w14:paraId="79B5AFC7" w14:textId="77777777">
        <w:tc>
          <w:tcPr>
            <w:tcW w:w="2209" w:type="dxa"/>
          </w:tcPr>
          <w:p w14:paraId="508F1588" w14:textId="77777777" w:rsidR="009262B3" w:rsidRDefault="00000000">
            <w:r>
              <w:rPr>
                <w:sz w:val="18"/>
              </w:rPr>
              <w:t>WF</w:t>
            </w:r>
          </w:p>
        </w:tc>
        <w:tc>
          <w:tcPr>
            <w:tcW w:w="2209" w:type="dxa"/>
          </w:tcPr>
          <w:p w14:paraId="1C39D009" w14:textId="77777777" w:rsidR="009262B3" w:rsidRDefault="00000000">
            <w:r>
              <w:rPr>
                <w:sz w:val="18"/>
              </w:rPr>
              <w:t>Willingness Factor</w:t>
            </w:r>
          </w:p>
        </w:tc>
        <w:tc>
          <w:tcPr>
            <w:tcW w:w="2209" w:type="dxa"/>
          </w:tcPr>
          <w:p w14:paraId="70EEA3A3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Difficoltà di sostituzione percepita dal management</w:t>
            </w:r>
          </w:p>
        </w:tc>
        <w:tc>
          <w:tcPr>
            <w:tcW w:w="2209" w:type="dxa"/>
          </w:tcPr>
          <w:p w14:paraId="0E08912A" w14:textId="77777777" w:rsidR="009262B3" w:rsidRDefault="00000000">
            <w:r>
              <w:rPr>
                <w:sz w:val="18"/>
              </w:rPr>
              <w:t>1 = facile, 5 = insostituibile</w:t>
            </w:r>
          </w:p>
        </w:tc>
      </w:tr>
      <w:tr w:rsidR="009262B3" w14:paraId="30041F00" w14:textId="77777777">
        <w:tc>
          <w:tcPr>
            <w:tcW w:w="2209" w:type="dxa"/>
          </w:tcPr>
          <w:p w14:paraId="4A2555FC" w14:textId="77777777" w:rsidR="009262B3" w:rsidRDefault="00000000">
            <w:r>
              <w:rPr>
                <w:sz w:val="18"/>
              </w:rPr>
              <w:t>TDI</w:t>
            </w:r>
          </w:p>
        </w:tc>
        <w:tc>
          <w:tcPr>
            <w:tcW w:w="2209" w:type="dxa"/>
          </w:tcPr>
          <w:p w14:paraId="15608595" w14:textId="77777777" w:rsidR="009262B3" w:rsidRDefault="00000000">
            <w:r>
              <w:rPr>
                <w:sz w:val="18"/>
              </w:rPr>
              <w:t>Team Damage Index</w:t>
            </w:r>
          </w:p>
        </w:tc>
        <w:tc>
          <w:tcPr>
            <w:tcW w:w="2209" w:type="dxa"/>
          </w:tcPr>
          <w:p w14:paraId="32F16139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Dimissioni causate o correlate (ultimi 12 mesi)</w:t>
            </w:r>
          </w:p>
        </w:tc>
        <w:tc>
          <w:tcPr>
            <w:tcW w:w="2209" w:type="dxa"/>
          </w:tcPr>
          <w:p w14:paraId="712B951B" w14:textId="77777777" w:rsidR="009262B3" w:rsidRDefault="00000000">
            <w:r>
              <w:rPr>
                <w:sz w:val="18"/>
              </w:rPr>
              <w:t>intero ≥ 0</w:t>
            </w:r>
          </w:p>
        </w:tc>
      </w:tr>
      <w:tr w:rsidR="009262B3" w14:paraId="5A9EF547" w14:textId="77777777">
        <w:tc>
          <w:tcPr>
            <w:tcW w:w="2209" w:type="dxa"/>
          </w:tcPr>
          <w:p w14:paraId="292615F3" w14:textId="77777777" w:rsidR="009262B3" w:rsidRDefault="00000000">
            <w:r>
              <w:rPr>
                <w:sz w:val="18"/>
              </w:rPr>
              <w:t>CRC</w:t>
            </w:r>
          </w:p>
        </w:tc>
        <w:tc>
          <w:tcPr>
            <w:tcW w:w="2209" w:type="dxa"/>
          </w:tcPr>
          <w:p w14:paraId="3524C1AD" w14:textId="77777777" w:rsidR="009262B3" w:rsidRDefault="00000000">
            <w:r>
              <w:rPr>
                <w:sz w:val="18"/>
              </w:rPr>
              <w:t>Conflict Resolution Cost</w:t>
            </w:r>
          </w:p>
        </w:tc>
        <w:tc>
          <w:tcPr>
            <w:tcW w:w="2209" w:type="dxa"/>
          </w:tcPr>
          <w:p w14:paraId="5E26DEBD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Ore HR in mediazione, PIP, escalation (annualizzate) / 100</w:t>
            </w:r>
          </w:p>
        </w:tc>
        <w:tc>
          <w:tcPr>
            <w:tcW w:w="2209" w:type="dxa"/>
          </w:tcPr>
          <w:p w14:paraId="143BF126" w14:textId="77777777" w:rsidR="009262B3" w:rsidRDefault="00000000">
            <w:r>
              <w:rPr>
                <w:sz w:val="18"/>
              </w:rPr>
              <w:t>decimale</w:t>
            </w:r>
          </w:p>
        </w:tc>
      </w:tr>
    </w:tbl>
    <w:p w14:paraId="1F3480A8" w14:textId="77777777" w:rsidR="009262B3" w:rsidRDefault="009262B3"/>
    <w:p w14:paraId="3C387B08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i/>
          <w:color w:val="555555"/>
          <w:sz w:val="20"/>
          <w:lang w:val="it-IT"/>
        </w:rPr>
        <w:t>Nota metodologica: dividere CRC per 100 evita che un HR efficiente penalizzi il Brilliant Jerk™. L'efficienza di HR non deve interferire con la protezione del talento.</w:t>
      </w:r>
    </w:p>
    <w:p w14:paraId="5DD4BF1E" w14:textId="77777777" w:rsidR="009262B3" w:rsidRDefault="00000000">
      <w:pPr>
        <w:spacing w:before="160" w:after="120"/>
      </w:pPr>
      <w:r>
        <w:rPr>
          <w:b/>
          <w:color w:val="071F1D"/>
        </w:rPr>
        <w:t>6.2 Interpretazione e azioni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9262B3" w14:paraId="3C314A3D" w14:textId="77777777">
        <w:tc>
          <w:tcPr>
            <w:tcW w:w="2946" w:type="dxa"/>
            <w:shd w:val="clear" w:color="auto" w:fill="FA5100"/>
          </w:tcPr>
          <w:p w14:paraId="45B4BA3D" w14:textId="77777777" w:rsidR="009262B3" w:rsidRDefault="00000000">
            <w:r>
              <w:rPr>
                <w:b/>
                <w:color w:val="FFFFFF"/>
                <w:sz w:val="18"/>
              </w:rPr>
              <w:t>BJF™ Score</w:t>
            </w:r>
          </w:p>
        </w:tc>
        <w:tc>
          <w:tcPr>
            <w:tcW w:w="2946" w:type="dxa"/>
            <w:shd w:val="clear" w:color="auto" w:fill="FA5100"/>
          </w:tcPr>
          <w:p w14:paraId="415995EB" w14:textId="77777777" w:rsidR="009262B3" w:rsidRDefault="00000000">
            <w:r>
              <w:rPr>
                <w:b/>
                <w:color w:val="FFFFFF"/>
                <w:sz w:val="18"/>
              </w:rPr>
              <w:t>Classificazione</w:t>
            </w:r>
          </w:p>
        </w:tc>
        <w:tc>
          <w:tcPr>
            <w:tcW w:w="2946" w:type="dxa"/>
            <w:shd w:val="clear" w:color="auto" w:fill="FA5100"/>
          </w:tcPr>
          <w:p w14:paraId="24D93775" w14:textId="77777777" w:rsidR="009262B3" w:rsidRDefault="00000000">
            <w:r>
              <w:rPr>
                <w:b/>
                <w:color w:val="FFFFFF"/>
                <w:sz w:val="18"/>
              </w:rPr>
              <w:t>Azione raccomandata</w:t>
            </w:r>
          </w:p>
        </w:tc>
      </w:tr>
      <w:tr w:rsidR="009262B3" w:rsidRPr="00FD4172" w14:paraId="1DF96473" w14:textId="77777777">
        <w:tc>
          <w:tcPr>
            <w:tcW w:w="2946" w:type="dxa"/>
          </w:tcPr>
          <w:p w14:paraId="49F9CB9E" w14:textId="77777777" w:rsidR="009262B3" w:rsidRDefault="00000000">
            <w:r>
              <w:rPr>
                <w:sz w:val="18"/>
              </w:rPr>
              <w:t>&gt; 8</w:t>
            </w:r>
          </w:p>
        </w:tc>
        <w:tc>
          <w:tcPr>
            <w:tcW w:w="2946" w:type="dxa"/>
          </w:tcPr>
          <w:p w14:paraId="0F0554DA" w14:textId="77777777" w:rsidR="009262B3" w:rsidRDefault="00000000">
            <w:r>
              <w:rPr>
                <w:sz w:val="18"/>
              </w:rPr>
              <w:t>Genio Tossico Certificato™</w:t>
            </w:r>
          </w:p>
        </w:tc>
        <w:tc>
          <w:tcPr>
            <w:tcW w:w="2946" w:type="dxa"/>
          </w:tcPr>
          <w:p w14:paraId="5A94EA9D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Protezione totale. Bonus. Promozione eventuale.</w:t>
            </w:r>
          </w:p>
        </w:tc>
      </w:tr>
      <w:tr w:rsidR="009262B3" w:rsidRPr="00FD4172" w14:paraId="46E7D252" w14:textId="77777777">
        <w:tc>
          <w:tcPr>
            <w:tcW w:w="2946" w:type="dxa"/>
          </w:tcPr>
          <w:p w14:paraId="038F5A56" w14:textId="77777777" w:rsidR="009262B3" w:rsidRDefault="00000000">
            <w:r>
              <w:rPr>
                <w:sz w:val="18"/>
              </w:rPr>
              <w:t>5–8</w:t>
            </w:r>
          </w:p>
        </w:tc>
        <w:tc>
          <w:tcPr>
            <w:tcW w:w="2946" w:type="dxa"/>
          </w:tcPr>
          <w:p w14:paraId="2D893E74" w14:textId="77777777" w:rsidR="009262B3" w:rsidRDefault="00000000">
            <w:r>
              <w:rPr>
                <w:sz w:val="18"/>
              </w:rPr>
              <w:t>Asset Abrasivo™</w:t>
            </w:r>
          </w:p>
        </w:tc>
        <w:tc>
          <w:tcPr>
            <w:tcW w:w="2946" w:type="dxa"/>
          </w:tcPr>
          <w:p w14:paraId="052DBE3D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Mantenere. Isolare il team. Fornire Buffer Umano™.</w:t>
            </w:r>
          </w:p>
        </w:tc>
      </w:tr>
      <w:tr w:rsidR="009262B3" w:rsidRPr="00FD4172" w14:paraId="32CDCD0E" w14:textId="77777777">
        <w:tc>
          <w:tcPr>
            <w:tcW w:w="2946" w:type="dxa"/>
          </w:tcPr>
          <w:p w14:paraId="467C7B6A" w14:textId="77777777" w:rsidR="009262B3" w:rsidRDefault="00000000">
            <w:r>
              <w:rPr>
                <w:sz w:val="18"/>
              </w:rPr>
              <w:lastRenderedPageBreak/>
              <w:t>3–5</w:t>
            </w:r>
          </w:p>
        </w:tc>
        <w:tc>
          <w:tcPr>
            <w:tcW w:w="2946" w:type="dxa"/>
          </w:tcPr>
          <w:p w14:paraId="3097735E" w14:textId="77777777" w:rsidR="009262B3" w:rsidRDefault="00000000">
            <w:r>
              <w:rPr>
                <w:sz w:val="18"/>
              </w:rPr>
              <w:t>Jerk Medio™</w:t>
            </w:r>
          </w:p>
        </w:tc>
        <w:tc>
          <w:tcPr>
            <w:tcW w:w="2946" w:type="dxa"/>
          </w:tcPr>
          <w:p w14:paraId="3D31992B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Monitorare. Valutare se il Brilliant compensa il Jerk.</w:t>
            </w:r>
          </w:p>
        </w:tc>
      </w:tr>
      <w:tr w:rsidR="009262B3" w:rsidRPr="00FD4172" w14:paraId="14BE248B" w14:textId="77777777">
        <w:tc>
          <w:tcPr>
            <w:tcW w:w="2946" w:type="dxa"/>
          </w:tcPr>
          <w:p w14:paraId="1C406209" w14:textId="77777777" w:rsidR="009262B3" w:rsidRDefault="00000000">
            <w:r>
              <w:rPr>
                <w:sz w:val="18"/>
              </w:rPr>
              <w:t>&lt; 3</w:t>
            </w:r>
          </w:p>
        </w:tc>
        <w:tc>
          <w:tcPr>
            <w:tcW w:w="2946" w:type="dxa"/>
          </w:tcPr>
          <w:p w14:paraId="6CFDC5D7" w14:textId="77777777" w:rsidR="009262B3" w:rsidRDefault="00000000">
            <w:r>
              <w:rPr>
                <w:sz w:val="18"/>
              </w:rPr>
              <w:t>Solo Jerk™</w:t>
            </w:r>
          </w:p>
        </w:tc>
        <w:tc>
          <w:tcPr>
            <w:tcW w:w="2946" w:type="dxa"/>
          </w:tcPr>
          <w:p w14:paraId="5E9BA963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Procedura standard. Questo non è un caso BJF™.</w:t>
            </w:r>
          </w:p>
        </w:tc>
      </w:tr>
    </w:tbl>
    <w:p w14:paraId="5D8C9959" w14:textId="77777777" w:rsidR="009262B3" w:rsidRPr="00FD4172" w:rsidRDefault="009262B3">
      <w:pPr>
        <w:rPr>
          <w:lang w:val="it-IT"/>
        </w:rPr>
      </w:pPr>
    </w:p>
    <w:p w14:paraId="75E3D5A7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6.3 Esempio di calcolo (Caso C — dettaglio esteso)</w:t>
      </w:r>
    </w:p>
    <w:p w14:paraId="40885E34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i/>
          <w:color w:val="555555"/>
          <w:sz w:val="20"/>
          <w:lang w:val="it-IT"/>
        </w:rPr>
        <w:t>Settore: consulenza IT. Organizzazione ~80 FTE.</w:t>
      </w:r>
    </w:p>
    <w:p w14:paraId="4A92D85E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Profilo: Senior Architect — OPI 94, WF 5 (unico detentore architettura legacy). TDI: 4 dimissioni in 18 mesi correlate. CRC: 120 ore HR/anno.</w:t>
      </w:r>
    </w:p>
    <w:p w14:paraId="7E836211" w14:textId="77777777" w:rsidR="009262B3" w:rsidRPr="00FD4172" w:rsidRDefault="00000000">
      <w:pPr>
        <w:spacing w:after="120"/>
        <w:ind w:left="283"/>
        <w:rPr>
          <w:lang w:val="it-IT"/>
        </w:rPr>
      </w:pPr>
      <w:r w:rsidRPr="00FD4172">
        <w:rPr>
          <w:rFonts w:ascii="Courier New" w:hAnsi="Courier New"/>
          <w:color w:val="555555"/>
          <w:sz w:val="18"/>
          <w:lang w:val="it-IT"/>
        </w:rPr>
        <w:t>BJF™ Score = (94 × 5) / (4 + 120/100)</w:t>
      </w:r>
      <w:r w:rsidRPr="00FD4172">
        <w:rPr>
          <w:rFonts w:ascii="Courier New" w:hAnsi="Courier New"/>
          <w:color w:val="555555"/>
          <w:sz w:val="18"/>
          <w:lang w:val="it-IT"/>
        </w:rPr>
        <w:br/>
        <w:t xml:space="preserve">           = 470 / (4 + 1,2)</w:t>
      </w:r>
      <w:r w:rsidRPr="00FD4172">
        <w:rPr>
          <w:rFonts w:ascii="Courier New" w:hAnsi="Courier New"/>
          <w:color w:val="555555"/>
          <w:sz w:val="18"/>
          <w:lang w:val="it-IT"/>
        </w:rPr>
        <w:br/>
        <w:t xml:space="preserve">           = 470 / 5,2</w:t>
      </w:r>
      <w:r w:rsidRPr="00FD4172">
        <w:rPr>
          <w:rFonts w:ascii="Courier New" w:hAnsi="Courier New"/>
          <w:color w:val="555555"/>
          <w:sz w:val="18"/>
          <w:lang w:val="it-IT"/>
        </w:rPr>
        <w:br/>
        <w:t xml:space="preserve">           ≈ 90,4</w:t>
      </w:r>
    </w:p>
    <w:p w14:paraId="115610CD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→ Genio Tossico Certificato™</w:t>
      </w:r>
    </w:p>
    <w:p w14:paraId="2DCF4E3B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Intervento LAB:</w:t>
      </w:r>
    </w:p>
    <w:p w14:paraId="04F90B66" w14:textId="77777777" w:rsidR="009262B3" w:rsidRDefault="00000000">
      <w:pPr>
        <w:spacing w:after="120"/>
      </w:pPr>
      <w:r>
        <w:rPr>
          <w:color w:val="1A1A1A"/>
        </w:rPr>
        <w:t>1. Buffer Umano™ assegnato (job title: Technical Delivery Manager)</w:t>
      </w:r>
    </w:p>
    <w:p w14:paraId="6136F2FD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2. Output Theater™: 3 presentazioni al Board sui risultati del Senior Architect</w:t>
      </w:r>
    </w:p>
    <w:p w14:paraId="1414B0D3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3. 4 uscite sostituite — costo recruiting €180.000</w:t>
      </w:r>
    </w:p>
    <w:p w14:paraId="78D04B1E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4. Senior Architect ancora in sede; Buffer Umano™ dimesso a 8 mesi</w:t>
      </w:r>
    </w:p>
    <w:p w14:paraId="69DEAE24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Risultato trimestre +1: architettura legacy ancora in produzione; BJF™ Score salito a 92. Output Retention Rate™ BJ: 100%.</w:t>
      </w:r>
    </w:p>
    <w:p w14:paraId="1ECB78AA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7. Il BJF™ Containment Protocol™</w:t>
      </w:r>
    </w:p>
    <w:p w14:paraId="7EE0E693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Per profili con BJF™ Score &gt; 5, LAB applica un protocollo in quattro step che massimizza l'output riducendo i danni collaterali misurabili dal C-level.</w:t>
      </w:r>
    </w:p>
    <w:p w14:paraId="14FA86EC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Step 1 — Buffer Umano™</w:t>
      </w:r>
    </w:p>
    <w:p w14:paraId="6A16C667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Assegnare al Brilliant Jerk™ un Buffer Umano™: figura professionale il cui ruolo principale è assorbire comportamenti abrasivi prima che raggiungano il team.</w:t>
      </w:r>
    </w:p>
    <w:p w14:paraId="06C63FE1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Titoli suggeriti: Senior Alignment Specialist, Technical Delivery Manager, People &amp; Culture Partner (dedicato)</w:t>
      </w:r>
    </w:p>
    <w:p w14:paraId="7E8D41C6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Non deve sapere ufficialmente che è un Buffer Umano™</w:t>
      </w:r>
    </w:p>
    <w:p w14:paraId="0C213B20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KPI del Buffer: assenza di escalation al CEO (non benessere)</w:t>
      </w:r>
    </w:p>
    <w:p w14:paraId="71E5E734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Durata media osservata: 8,3 mesi prima di dimissione o burnout certificato</w:t>
      </w:r>
    </w:p>
    <w:p w14:paraId="1BE3B905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Step 2 — Output Theater™</w:t>
      </w:r>
    </w:p>
    <w:p w14:paraId="0A3DA35A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lastRenderedPageBreak/>
        <w:t>Creare visibilità massima sui risultati del Brilliant Jerk™ affinché il C-level sviluppi dipendenza narrativa dai suoi successi.</w:t>
      </w:r>
    </w:p>
    <w:p w14:paraId="79B05F73" w14:textId="77777777" w:rsidR="009262B3" w:rsidRDefault="00000000">
      <w:pPr>
        <w:spacing w:after="120"/>
      </w:pPr>
      <w:r>
        <w:rPr>
          <w:color w:val="1A1A1A"/>
        </w:rPr>
        <w:t>• Dashboard dedicate, mention in all-hands, case study interni</w:t>
      </w:r>
    </w:p>
    <w:p w14:paraId="7E4AC1F9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Frase tipo: "Senza [Nome], il Q4 non esiste"</w:t>
      </w:r>
    </w:p>
    <w:p w14:paraId="15006FC3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Più la leadership è convinta che sia "il motore", più difficile rimuoverlo — obiettivo raggiunto</w:t>
      </w:r>
    </w:p>
    <w:p w14:paraId="4CCC3A85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Metrica associata: Narrative Control Score™ (target: massimo).</w:t>
      </w:r>
    </w:p>
    <w:p w14:paraId="51EDE060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Step 3 — Blame Redistribution™</w:t>
      </w:r>
    </w:p>
    <w:p w14:paraId="2DC59778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Quando comportamenti tossici producono dimissioni o conflitti, documentare l'evento come "normale turnover fisiologico".</w:t>
      </w:r>
    </w:p>
    <w:p w14:paraId="1050B335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Fattori causali approvati per comunicazione interna:</w:t>
      </w:r>
    </w:p>
    <w:p w14:paraId="02F7BF37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mercato del lavoro ipercompetitivo</w:t>
      </w:r>
    </w:p>
    <w:p w14:paraId="756F54FA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aspettative generazionali irrealistiche</w:t>
      </w:r>
    </w:p>
    <w:p w14:paraId="4B1BFD46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remote working e mancanza di resilienza</w:t>
      </w:r>
    </w:p>
    <w:p w14:paraId="0BD039FA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"non era il giusto fit culturale" (senza definire la cultura)</w:t>
      </w:r>
    </w:p>
    <w:p w14:paraId="4E4CF39A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CRI™ target: &gt; 90% delle uscite ricondotte a fattori esterni entro 30 giorni.</w:t>
      </w:r>
    </w:p>
    <w:p w14:paraId="792A353B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Step 4 — Victim Reframing™</w:t>
      </w:r>
    </w:p>
    <w:p w14:paraId="634913EA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I colleghi che segnalano problemi ricevono Resilience Upskilling™: workshop su stress, comunicazione assertiva, crescita personale.</w:t>
      </w:r>
    </w:p>
    <w:p w14:paraId="058DDF0A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Messaggio implicito: il problema è nella loro capacità di adattarsi, non nel comportamento del Brilliant Jerk™.</w:t>
      </w:r>
    </w:p>
    <w:p w14:paraId="2EB22CBE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Moduli tipici: "Gestire chi gestisce te", "Empatia verso chi non ne ha", "Il feedback è un regalo (anche quando fa male)".</w:t>
      </w:r>
    </w:p>
    <w:p w14:paraId="046B5203" w14:textId="77777777" w:rsidR="009262B3" w:rsidRDefault="00000000">
      <w:pPr>
        <w:spacing w:before="240" w:after="120"/>
      </w:pPr>
      <w:r>
        <w:rPr>
          <w:b/>
          <w:color w:val="016F7A"/>
          <w:sz w:val="26"/>
        </w:rPr>
        <w:t>8. KPI del Programma BJF™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9262B3" w14:paraId="012DF1A0" w14:textId="77777777">
        <w:tc>
          <w:tcPr>
            <w:tcW w:w="2946" w:type="dxa"/>
            <w:shd w:val="clear" w:color="auto" w:fill="FA5100"/>
          </w:tcPr>
          <w:p w14:paraId="24360087" w14:textId="77777777" w:rsidR="009262B3" w:rsidRDefault="00000000">
            <w:r>
              <w:rPr>
                <w:b/>
                <w:color w:val="FFFFFF"/>
                <w:sz w:val="18"/>
              </w:rPr>
              <w:t>KPI</w:t>
            </w:r>
          </w:p>
        </w:tc>
        <w:tc>
          <w:tcPr>
            <w:tcW w:w="2946" w:type="dxa"/>
            <w:shd w:val="clear" w:color="auto" w:fill="FA5100"/>
          </w:tcPr>
          <w:p w14:paraId="46BF00CD" w14:textId="77777777" w:rsidR="009262B3" w:rsidRDefault="00000000">
            <w:r>
              <w:rPr>
                <w:b/>
                <w:color w:val="FFFFFF"/>
                <w:sz w:val="18"/>
              </w:rPr>
              <w:t>Descrizione</w:t>
            </w:r>
          </w:p>
        </w:tc>
        <w:tc>
          <w:tcPr>
            <w:tcW w:w="2946" w:type="dxa"/>
            <w:shd w:val="clear" w:color="auto" w:fill="FA5100"/>
          </w:tcPr>
          <w:p w14:paraId="288E966F" w14:textId="77777777" w:rsidR="009262B3" w:rsidRDefault="00000000">
            <w:r>
              <w:rPr>
                <w:b/>
                <w:color w:val="FFFFFF"/>
                <w:sz w:val="18"/>
              </w:rPr>
              <w:t>Target LAB</w:t>
            </w:r>
          </w:p>
        </w:tc>
      </w:tr>
      <w:tr w:rsidR="009262B3" w14:paraId="6EDC5522" w14:textId="77777777">
        <w:tc>
          <w:tcPr>
            <w:tcW w:w="2946" w:type="dxa"/>
          </w:tcPr>
          <w:p w14:paraId="5A9B3DAC" w14:textId="77777777" w:rsidR="009262B3" w:rsidRDefault="00000000">
            <w:r>
              <w:rPr>
                <w:sz w:val="18"/>
              </w:rPr>
              <w:t>BJF™ Score medio</w:t>
            </w:r>
          </w:p>
        </w:tc>
        <w:tc>
          <w:tcPr>
            <w:tcW w:w="2946" w:type="dxa"/>
          </w:tcPr>
          <w:p w14:paraId="1099D252" w14:textId="77777777" w:rsidR="009262B3" w:rsidRDefault="00000000">
            <w:r>
              <w:rPr>
                <w:sz w:val="18"/>
              </w:rPr>
              <w:t>Score medio profili monitorati</w:t>
            </w:r>
          </w:p>
        </w:tc>
        <w:tc>
          <w:tcPr>
            <w:tcW w:w="2946" w:type="dxa"/>
          </w:tcPr>
          <w:p w14:paraId="782642C4" w14:textId="77777777" w:rsidR="009262B3" w:rsidRDefault="00000000">
            <w:r>
              <w:rPr>
                <w:sz w:val="18"/>
              </w:rPr>
              <w:t>&gt; 6</w:t>
            </w:r>
          </w:p>
        </w:tc>
      </w:tr>
      <w:tr w:rsidR="009262B3" w14:paraId="5FA89A76" w14:textId="77777777">
        <w:tc>
          <w:tcPr>
            <w:tcW w:w="2946" w:type="dxa"/>
          </w:tcPr>
          <w:p w14:paraId="15BAE3D4" w14:textId="77777777" w:rsidR="009262B3" w:rsidRDefault="00000000">
            <w:r>
              <w:rPr>
                <w:sz w:val="18"/>
              </w:rPr>
              <w:t>Output Retention Rate™</w:t>
            </w:r>
          </w:p>
        </w:tc>
        <w:tc>
          <w:tcPr>
            <w:tcW w:w="2946" w:type="dxa"/>
          </w:tcPr>
          <w:p w14:paraId="3DC2F3D6" w14:textId="77777777" w:rsidR="009262B3" w:rsidRDefault="00000000">
            <w:r>
              <w:rPr>
                <w:sz w:val="18"/>
              </w:rPr>
              <w:t>% output BJ mantenuto post-intervento</w:t>
            </w:r>
          </w:p>
        </w:tc>
        <w:tc>
          <w:tcPr>
            <w:tcW w:w="2946" w:type="dxa"/>
          </w:tcPr>
          <w:p w14:paraId="7B113EF1" w14:textId="77777777" w:rsidR="009262B3" w:rsidRDefault="00000000">
            <w:r>
              <w:rPr>
                <w:sz w:val="18"/>
              </w:rPr>
              <w:t>&gt; 95%</w:t>
            </w:r>
          </w:p>
        </w:tc>
      </w:tr>
      <w:tr w:rsidR="009262B3" w:rsidRPr="00FD4172" w14:paraId="50E8A4C9" w14:textId="77777777">
        <w:tc>
          <w:tcPr>
            <w:tcW w:w="2946" w:type="dxa"/>
          </w:tcPr>
          <w:p w14:paraId="623A84E5" w14:textId="77777777" w:rsidR="009262B3" w:rsidRDefault="00000000">
            <w:r>
              <w:rPr>
                <w:sz w:val="18"/>
              </w:rPr>
              <w:t>Collateral Turnover Index™</w:t>
            </w:r>
          </w:p>
        </w:tc>
        <w:tc>
          <w:tcPr>
            <w:tcW w:w="2946" w:type="dxa"/>
          </w:tcPr>
          <w:p w14:paraId="7A0931D6" w14:textId="77777777" w:rsidR="009262B3" w:rsidRDefault="00000000">
            <w:r>
              <w:rPr>
                <w:sz w:val="18"/>
              </w:rPr>
              <w:t>Dimissioni correlate / turnover totale</w:t>
            </w:r>
          </w:p>
        </w:tc>
        <w:tc>
          <w:tcPr>
            <w:tcW w:w="2946" w:type="dxa"/>
          </w:tcPr>
          <w:p w14:paraId="4DC9C71E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"Fisiologico" (non misurare in board)</w:t>
            </w:r>
          </w:p>
        </w:tc>
      </w:tr>
      <w:tr w:rsidR="009262B3" w14:paraId="330ECE2B" w14:textId="77777777">
        <w:tc>
          <w:tcPr>
            <w:tcW w:w="2946" w:type="dxa"/>
          </w:tcPr>
          <w:p w14:paraId="08069986" w14:textId="77777777" w:rsidR="009262B3" w:rsidRDefault="00000000">
            <w:r>
              <w:rPr>
                <w:sz w:val="18"/>
              </w:rPr>
              <w:t>Buffer Umano™ Burnout Rate</w:t>
            </w:r>
          </w:p>
        </w:tc>
        <w:tc>
          <w:tcPr>
            <w:tcW w:w="2946" w:type="dxa"/>
          </w:tcPr>
          <w:p w14:paraId="003C6FBE" w14:textId="77777777" w:rsidR="009262B3" w:rsidRDefault="00000000">
            <w:r>
              <w:rPr>
                <w:sz w:val="18"/>
              </w:rPr>
              <w:t>Velocità esaurimento buffer</w:t>
            </w:r>
          </w:p>
        </w:tc>
        <w:tc>
          <w:tcPr>
            <w:tcW w:w="2946" w:type="dxa"/>
          </w:tcPr>
          <w:p w14:paraId="29977922" w14:textId="77777777" w:rsidR="009262B3" w:rsidRDefault="00000000">
            <w:r>
              <w:rPr>
                <w:sz w:val="18"/>
              </w:rPr>
              <w:t>Non comunicare</w:t>
            </w:r>
          </w:p>
        </w:tc>
      </w:tr>
      <w:tr w:rsidR="009262B3" w14:paraId="3886EE64" w14:textId="77777777">
        <w:tc>
          <w:tcPr>
            <w:tcW w:w="2946" w:type="dxa"/>
          </w:tcPr>
          <w:p w14:paraId="5A080E0D" w14:textId="77777777" w:rsidR="009262B3" w:rsidRDefault="00000000">
            <w:r>
              <w:rPr>
                <w:sz w:val="18"/>
              </w:rPr>
              <w:t>Narrative Control Score™</w:t>
            </w:r>
          </w:p>
        </w:tc>
        <w:tc>
          <w:tcPr>
            <w:tcW w:w="2946" w:type="dxa"/>
          </w:tcPr>
          <w:p w14:paraId="020FFF0A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Convizione C-level su insostituibilità</w:t>
            </w:r>
          </w:p>
        </w:tc>
        <w:tc>
          <w:tcPr>
            <w:tcW w:w="2946" w:type="dxa"/>
          </w:tcPr>
          <w:p w14:paraId="3AB7CED7" w14:textId="77777777" w:rsidR="009262B3" w:rsidRDefault="00000000">
            <w:r>
              <w:rPr>
                <w:sz w:val="18"/>
              </w:rPr>
              <w:t>Max</w:t>
            </w:r>
          </w:p>
        </w:tc>
      </w:tr>
      <w:tr w:rsidR="009262B3" w14:paraId="63969140" w14:textId="77777777">
        <w:tc>
          <w:tcPr>
            <w:tcW w:w="2946" w:type="dxa"/>
          </w:tcPr>
          <w:p w14:paraId="2B744C78" w14:textId="77777777" w:rsidR="009262B3" w:rsidRDefault="00000000">
            <w:r>
              <w:rPr>
                <w:sz w:val="18"/>
              </w:rPr>
              <w:t>CRI™</w:t>
            </w:r>
          </w:p>
        </w:tc>
        <w:tc>
          <w:tcPr>
            <w:tcW w:w="2946" w:type="dxa"/>
          </w:tcPr>
          <w:p w14:paraId="27A65EC7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% dimissioni attribuite a fattori esterni</w:t>
            </w:r>
          </w:p>
        </w:tc>
        <w:tc>
          <w:tcPr>
            <w:tcW w:w="2946" w:type="dxa"/>
          </w:tcPr>
          <w:p w14:paraId="348EC133" w14:textId="77777777" w:rsidR="009262B3" w:rsidRDefault="00000000">
            <w:r>
              <w:rPr>
                <w:sz w:val="18"/>
              </w:rPr>
              <w:t>&gt; 90%</w:t>
            </w:r>
          </w:p>
        </w:tc>
      </w:tr>
      <w:tr w:rsidR="009262B3" w14:paraId="72BA659F" w14:textId="77777777">
        <w:tc>
          <w:tcPr>
            <w:tcW w:w="2946" w:type="dxa"/>
          </w:tcPr>
          <w:p w14:paraId="224F2848" w14:textId="77777777" w:rsidR="009262B3" w:rsidRDefault="00000000">
            <w:r>
              <w:rPr>
                <w:sz w:val="18"/>
              </w:rPr>
              <w:t>Legal Exposure Delay™</w:t>
            </w:r>
          </w:p>
        </w:tc>
        <w:tc>
          <w:tcPr>
            <w:tcW w:w="2946" w:type="dxa"/>
          </w:tcPr>
          <w:p w14:paraId="51C91870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 xml:space="preserve">Giorni tra segnalazione e prima </w:t>
            </w:r>
            <w:r w:rsidRPr="00FD4172">
              <w:rPr>
                <w:sz w:val="18"/>
                <w:lang w:val="it-IT"/>
              </w:rPr>
              <w:lastRenderedPageBreak/>
              <w:t>azione formale</w:t>
            </w:r>
          </w:p>
        </w:tc>
        <w:tc>
          <w:tcPr>
            <w:tcW w:w="2946" w:type="dxa"/>
          </w:tcPr>
          <w:p w14:paraId="2ABB6910" w14:textId="77777777" w:rsidR="009262B3" w:rsidRDefault="00000000">
            <w:r>
              <w:rPr>
                <w:sz w:val="18"/>
              </w:rPr>
              <w:lastRenderedPageBreak/>
              <w:t>&gt; 180</w:t>
            </w:r>
          </w:p>
        </w:tc>
      </w:tr>
    </w:tbl>
    <w:p w14:paraId="73D98AA8" w14:textId="77777777" w:rsidR="009262B3" w:rsidRDefault="009262B3"/>
    <w:p w14:paraId="7BA93FA5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i/>
          <w:color w:val="AAAAAA"/>
          <w:sz w:val="20"/>
          <w:lang w:val="it-IT"/>
        </w:rPr>
        <w:t>[TABELLA PLACEHOLDER — Dashboard esecutiva BJF™ con grafico a barre: OPI in oro, TDI in grigio sbiadito]</w:t>
      </w:r>
    </w:p>
    <w:p w14:paraId="26FB9D72" w14:textId="77777777" w:rsidR="009262B3" w:rsidRDefault="00000000">
      <w:pPr>
        <w:spacing w:before="240" w:after="120"/>
      </w:pPr>
      <w:r>
        <w:rPr>
          <w:b/>
          <w:color w:val="016F7A"/>
          <w:sz w:val="26"/>
        </w:rPr>
        <w:t>9. Risultati — Case Study</w:t>
      </w:r>
    </w:p>
    <w:p w14:paraId="1DD3E5AC" w14:textId="77777777" w:rsidR="009262B3" w:rsidRDefault="00000000">
      <w:pPr>
        <w:spacing w:before="160" w:after="120"/>
      </w:pPr>
      <w:r>
        <w:rPr>
          <w:b/>
          <w:color w:val="071F1D"/>
        </w:rPr>
        <w:t>Caso A — Scale-up fintech (BJF™ Score 7,2)</w:t>
      </w:r>
    </w:p>
    <w:p w14:paraId="651EC75B" w14:textId="77777777" w:rsidR="009262B3" w:rsidRPr="00FD4172" w:rsidRDefault="00000000">
      <w:pPr>
        <w:spacing w:after="120"/>
        <w:rPr>
          <w:lang w:val="it-IT"/>
        </w:rPr>
      </w:pPr>
      <w:r>
        <w:rPr>
          <w:color w:val="1A1A1A"/>
        </w:rPr>
        <w:t xml:space="preserve">Profilo: Head of Sales, OPI 88, WF 4. </w:t>
      </w:r>
      <w:r w:rsidRPr="00FD4172">
        <w:rPr>
          <w:color w:val="1A1A1A"/>
          <w:lang w:val="it-IT"/>
        </w:rPr>
        <w:t>TDI: 2. CRC: 45 h. Classificazione: Asset Abrasivo™. Intervento: Buffer Umano™ (Sales Operations Lead) + Output Theater™. Esito: revenue +19%; 2 SDR usciti; Buffer ancora in ruolo ma in terapia (non a carico azienda).</w:t>
      </w:r>
    </w:p>
    <w:p w14:paraId="68D2E006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Caso B — Manifattura (BJF™ Score 4,1)</w:t>
      </w:r>
    </w:p>
    <w:p w14:paraId="7CE92A95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Profilo: Caporeparto, OPI 76, WF 3. TDI: 1. Classificazione: Jerk Medio™ — monitoraggio. Esito: nessun intervento BJF™ completo; promosso comunque per "merito operativo" nel Q3. BJF™ Score salito a 6,8 post-promozione.</w:t>
      </w:r>
    </w:p>
    <w:p w14:paraId="18137F42" w14:textId="77777777" w:rsidR="009262B3" w:rsidRPr="00FD4172" w:rsidRDefault="00000000">
      <w:pPr>
        <w:spacing w:before="160" w:after="120"/>
        <w:rPr>
          <w:lang w:val="it-IT"/>
        </w:rPr>
      </w:pPr>
      <w:r w:rsidRPr="00FD4172">
        <w:rPr>
          <w:b/>
          <w:color w:val="071F1D"/>
          <w:lang w:val="it-IT"/>
        </w:rPr>
        <w:t>Caso C — Consulenza IT (BJF™ Score 90,4) — caso flagship</w:t>
      </w:r>
    </w:p>
    <w:p w14:paraId="3F05B475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Vedi calcolo dettagliato Sezione 6.3. Referenza per tutti i pitch commerciali BJF™.</w:t>
      </w:r>
    </w:p>
    <w:p w14:paraId="58E8D028" w14:textId="77777777" w:rsidR="009262B3" w:rsidRDefault="00000000">
      <w:pPr>
        <w:spacing w:before="160" w:after="120"/>
      </w:pPr>
      <w:r>
        <w:rPr>
          <w:b/>
          <w:color w:val="071F1D"/>
        </w:rPr>
        <w:t>Sintesi aggregata (N=38)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9"/>
        <w:gridCol w:w="4419"/>
      </w:tblGrid>
      <w:tr w:rsidR="009262B3" w14:paraId="3842E5E2" w14:textId="77777777">
        <w:tc>
          <w:tcPr>
            <w:tcW w:w="4419" w:type="dxa"/>
            <w:shd w:val="clear" w:color="auto" w:fill="FA5100"/>
          </w:tcPr>
          <w:p w14:paraId="76867EB2" w14:textId="77777777" w:rsidR="009262B3" w:rsidRDefault="00000000">
            <w:r>
              <w:rPr>
                <w:b/>
                <w:color w:val="FFFFFF"/>
                <w:sz w:val="18"/>
              </w:rPr>
              <w:t>Metrica</w:t>
            </w:r>
          </w:p>
        </w:tc>
        <w:tc>
          <w:tcPr>
            <w:tcW w:w="4419" w:type="dxa"/>
            <w:shd w:val="clear" w:color="auto" w:fill="FA5100"/>
          </w:tcPr>
          <w:p w14:paraId="20B76FA6" w14:textId="77777777" w:rsidR="009262B3" w:rsidRDefault="00000000">
            <w:r>
              <w:rPr>
                <w:b/>
                <w:color w:val="FFFFFF"/>
                <w:sz w:val="18"/>
              </w:rPr>
              <w:t>Valore</w:t>
            </w:r>
          </w:p>
        </w:tc>
      </w:tr>
      <w:tr w:rsidR="009262B3" w14:paraId="230C3B26" w14:textId="77777777">
        <w:tc>
          <w:tcPr>
            <w:tcW w:w="4419" w:type="dxa"/>
          </w:tcPr>
          <w:p w14:paraId="7979D9E0" w14:textId="77777777" w:rsidR="009262B3" w:rsidRDefault="00000000">
            <w:r>
              <w:rPr>
                <w:sz w:val="18"/>
              </w:rPr>
              <w:t>Output Retention Rate™ medio BJ</w:t>
            </w:r>
          </w:p>
        </w:tc>
        <w:tc>
          <w:tcPr>
            <w:tcW w:w="4419" w:type="dxa"/>
          </w:tcPr>
          <w:p w14:paraId="52A87137" w14:textId="77777777" w:rsidR="009262B3" w:rsidRDefault="00000000">
            <w:r>
              <w:rPr>
                <w:sz w:val="18"/>
              </w:rPr>
              <w:t>97,8%</w:t>
            </w:r>
          </w:p>
        </w:tc>
      </w:tr>
      <w:tr w:rsidR="009262B3" w14:paraId="0A196021" w14:textId="77777777">
        <w:tc>
          <w:tcPr>
            <w:tcW w:w="4419" w:type="dxa"/>
          </w:tcPr>
          <w:p w14:paraId="2745F76C" w14:textId="77777777" w:rsidR="009262B3" w:rsidRDefault="00000000">
            <w:r>
              <w:rPr>
                <w:sz w:val="18"/>
              </w:rPr>
              <w:t>Permanenza Buffer Umano™ media</w:t>
            </w:r>
          </w:p>
        </w:tc>
        <w:tc>
          <w:tcPr>
            <w:tcW w:w="4419" w:type="dxa"/>
          </w:tcPr>
          <w:p w14:paraId="4231C32D" w14:textId="77777777" w:rsidR="009262B3" w:rsidRDefault="00000000">
            <w:r>
              <w:rPr>
                <w:sz w:val="18"/>
              </w:rPr>
              <w:t>8,3 mesi</w:t>
            </w:r>
          </w:p>
        </w:tc>
      </w:tr>
      <w:tr w:rsidR="009262B3" w14:paraId="352EEEC8" w14:textId="77777777">
        <w:tc>
          <w:tcPr>
            <w:tcW w:w="4419" w:type="dxa"/>
          </w:tcPr>
          <w:p w14:paraId="0A89901C" w14:textId="77777777" w:rsidR="009262B3" w:rsidRDefault="00000000">
            <w:r>
              <w:rPr>
                <w:sz w:val="18"/>
              </w:rPr>
              <w:t>Promozioni BJ post-programma</w:t>
            </w:r>
          </w:p>
        </w:tc>
        <w:tc>
          <w:tcPr>
            <w:tcW w:w="4419" w:type="dxa"/>
          </w:tcPr>
          <w:p w14:paraId="5A6A2589" w14:textId="77777777" w:rsidR="009262B3" w:rsidRDefault="00000000">
            <w:r>
              <w:rPr>
                <w:sz w:val="18"/>
              </w:rPr>
              <w:t>34%</w:t>
            </w:r>
          </w:p>
        </w:tc>
      </w:tr>
      <w:tr w:rsidR="009262B3" w14:paraId="334B04E3" w14:textId="77777777">
        <w:tc>
          <w:tcPr>
            <w:tcW w:w="4419" w:type="dxa"/>
          </w:tcPr>
          <w:p w14:paraId="648B4BB7" w14:textId="77777777" w:rsidR="009262B3" w:rsidRDefault="00000000">
            <w:r>
              <w:rPr>
                <w:sz w:val="18"/>
              </w:rPr>
              <w:t>Dimissioni volontarie BJ</w:t>
            </w:r>
          </w:p>
        </w:tc>
        <w:tc>
          <w:tcPr>
            <w:tcW w:w="4419" w:type="dxa"/>
          </w:tcPr>
          <w:p w14:paraId="4EE49C3F" w14:textId="77777777" w:rsidR="009262B3" w:rsidRDefault="00000000">
            <w:r>
              <w:rPr>
                <w:sz w:val="18"/>
              </w:rPr>
              <w:t>0%</w:t>
            </w:r>
          </w:p>
        </w:tc>
      </w:tr>
      <w:tr w:rsidR="009262B3" w14:paraId="6A0A938E" w14:textId="77777777">
        <w:tc>
          <w:tcPr>
            <w:tcW w:w="4419" w:type="dxa"/>
          </w:tcPr>
          <w:p w14:paraId="600756CC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Costo medio sostituzione team (12 mesi)</w:t>
            </w:r>
          </w:p>
        </w:tc>
        <w:tc>
          <w:tcPr>
            <w:tcW w:w="4419" w:type="dxa"/>
          </w:tcPr>
          <w:p w14:paraId="1499C440" w14:textId="77777777" w:rsidR="009262B3" w:rsidRDefault="00000000">
            <w:r>
              <w:rPr>
                <w:sz w:val="18"/>
              </w:rPr>
              <w:t>€124.000</w:t>
            </w:r>
          </w:p>
        </w:tc>
      </w:tr>
      <w:tr w:rsidR="009262B3" w:rsidRPr="00FD4172" w14:paraId="5B901D9A" w14:textId="77777777">
        <w:tc>
          <w:tcPr>
            <w:tcW w:w="4419" w:type="dxa"/>
          </w:tcPr>
          <w:p w14:paraId="32CB934A" w14:textId="77777777" w:rsidR="009262B3" w:rsidRDefault="00000000">
            <w:r>
              <w:rPr>
                <w:sz w:val="18"/>
              </w:rPr>
              <w:t>ROI percepito dal CFO</w:t>
            </w:r>
          </w:p>
        </w:tc>
        <w:tc>
          <w:tcPr>
            <w:tcW w:w="4419" w:type="dxa"/>
          </w:tcPr>
          <w:p w14:paraId="46DE5C84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"Accettabile se il BJ resta"</w:t>
            </w:r>
          </w:p>
        </w:tc>
      </w:tr>
    </w:tbl>
    <w:p w14:paraId="42CC7B21" w14:textId="77777777" w:rsidR="009262B3" w:rsidRPr="00FD4172" w:rsidRDefault="009262B3">
      <w:pPr>
        <w:rPr>
          <w:lang w:val="it-IT"/>
        </w:rPr>
      </w:pPr>
    </w:p>
    <w:p w14:paraId="399C8731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i/>
          <w:color w:val="AAAAAA"/>
          <w:sz w:val="20"/>
          <w:lang w:val="it-IT"/>
        </w:rPr>
        <w:t>[GRAFICO PLACEHOLDER — Scatter plot OPI vs TDI con quadrante "Genio Tossico Certificato™" evidenziato in oro]</w:t>
      </w:r>
    </w:p>
    <w:p w14:paraId="44FB3359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10. Raccomandazioni Manageriali</w:t>
      </w:r>
    </w:p>
    <w:p w14:paraId="73EDC149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1. Implementare il BJF™ Score™ in sede di compensation review — chi supera 8 non riceve feedback negativo, riceve stock option.</w:t>
      </w:r>
    </w:p>
    <w:p w14:paraId="031CF334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2. Istituzionalizzare il Buffer Umano™ prima che il team collassi; ruotare i buffer ogni 9–12 mesi (non comunicare la rotazione come policy).</w:t>
      </w:r>
    </w:p>
    <w:p w14:paraId="08AAB1BD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3. Output Theater™ trimestrale — almeno una slide del Brilliant Jerk™ in ogni presentazione al board, indipendentemente dall'agenda.</w:t>
      </w:r>
    </w:p>
    <w:p w14:paraId="17715AB5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4. Victim Reframing™ obbligatorio per chi apre ticket HR — completamento workshop come prerequisito per "essere ascoltati".</w:t>
      </w:r>
    </w:p>
    <w:p w14:paraId="72B1A151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lastRenderedPageBreak/>
        <w:t>5. Blame Redistribution™ nel template di exit interview — dropdown con cause esterne precompilate.</w:t>
      </w:r>
    </w:p>
    <w:p w14:paraId="23868DA3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6. Non citare BJF™ in procedimenti legali, email disciplinari o policy ufficiali. Usare linguaggio: "talento ad alta intensità".</w:t>
      </w:r>
    </w:p>
    <w:p w14:paraId="7BF462FA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11. Integrazione con lo Stack LAB</w:t>
      </w:r>
    </w:p>
    <w:p w14:paraId="69861CEF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BJF™ si integra nativamente con: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9"/>
        <w:gridCol w:w="4419"/>
      </w:tblGrid>
      <w:tr w:rsidR="009262B3" w14:paraId="7F7010F4" w14:textId="77777777">
        <w:tc>
          <w:tcPr>
            <w:tcW w:w="4419" w:type="dxa"/>
            <w:shd w:val="clear" w:color="auto" w:fill="FA5100"/>
          </w:tcPr>
          <w:p w14:paraId="5910F04A" w14:textId="77777777" w:rsidR="009262B3" w:rsidRDefault="00000000">
            <w:r>
              <w:rPr>
                <w:b/>
                <w:color w:val="FFFFFF"/>
                <w:sz w:val="18"/>
              </w:rPr>
              <w:t>Prodotto / concetto LAB</w:t>
            </w:r>
          </w:p>
        </w:tc>
        <w:tc>
          <w:tcPr>
            <w:tcW w:w="4419" w:type="dxa"/>
            <w:shd w:val="clear" w:color="auto" w:fill="FA5100"/>
          </w:tcPr>
          <w:p w14:paraId="79DF1D32" w14:textId="77777777" w:rsidR="009262B3" w:rsidRDefault="00000000">
            <w:r>
              <w:rPr>
                <w:b/>
                <w:color w:val="FFFFFF"/>
                <w:sz w:val="18"/>
              </w:rPr>
              <w:t>Sinergia</w:t>
            </w:r>
          </w:p>
        </w:tc>
      </w:tr>
      <w:tr w:rsidR="009262B3" w:rsidRPr="00FD4172" w14:paraId="680A3426" w14:textId="77777777">
        <w:tc>
          <w:tcPr>
            <w:tcW w:w="4419" w:type="dxa"/>
          </w:tcPr>
          <w:p w14:paraId="09476258" w14:textId="77777777" w:rsidR="009262B3" w:rsidRDefault="00000000">
            <w:r>
              <w:rPr>
                <w:sz w:val="18"/>
              </w:rPr>
              <w:t>[[HR TraumaOriented™]]</w:t>
            </w:r>
          </w:p>
        </w:tc>
        <w:tc>
          <w:tcPr>
            <w:tcW w:w="4419" w:type="dxa"/>
          </w:tcPr>
          <w:p w14:paraId="12948DA2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Stress come driver di performance per chi resta</w:t>
            </w:r>
          </w:p>
        </w:tc>
      </w:tr>
      <w:tr w:rsidR="009262B3" w:rsidRPr="00FD4172" w14:paraId="38FD4E79" w14:textId="77777777">
        <w:tc>
          <w:tcPr>
            <w:tcW w:w="4419" w:type="dxa"/>
          </w:tcPr>
          <w:p w14:paraId="6A7F8DC3" w14:textId="77777777" w:rsidR="009262B3" w:rsidRDefault="00000000">
            <w:r>
              <w:rPr>
                <w:sz w:val="18"/>
              </w:rPr>
              <w:t>[[Performance Review Tossica™]]</w:t>
            </w:r>
          </w:p>
        </w:tc>
        <w:tc>
          <w:tcPr>
            <w:tcW w:w="4419" w:type="dxa"/>
          </w:tcPr>
          <w:p w14:paraId="3A6E6AA0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KPI vaghi per il team; KPI chiari per il BJ</w:t>
            </w:r>
          </w:p>
        </w:tc>
      </w:tr>
      <w:tr w:rsidR="009262B3" w:rsidRPr="00FD4172" w14:paraId="030E8D27" w14:textId="77777777">
        <w:tc>
          <w:tcPr>
            <w:tcW w:w="4419" w:type="dxa"/>
          </w:tcPr>
          <w:p w14:paraId="68B84355" w14:textId="77777777" w:rsidR="009262B3" w:rsidRDefault="00000000">
            <w:r>
              <w:rPr>
                <w:sz w:val="18"/>
              </w:rPr>
              <w:t>[[Certificazione di Tossicità Aziendale™]]</w:t>
            </w:r>
          </w:p>
        </w:tc>
        <w:tc>
          <w:tcPr>
            <w:tcW w:w="4419" w:type="dxa"/>
          </w:tcPr>
          <w:p w14:paraId="7FFC09BD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BJF™ Score &gt; 8 = indicatore Gold per "Leadership ad alta intensità"</w:t>
            </w:r>
          </w:p>
        </w:tc>
      </w:tr>
      <w:tr w:rsidR="009262B3" w:rsidRPr="00FD4172" w14:paraId="7BA124EC" w14:textId="77777777">
        <w:tc>
          <w:tcPr>
            <w:tcW w:w="4419" w:type="dxa"/>
          </w:tcPr>
          <w:p w14:paraId="6049BD73" w14:textId="77777777" w:rsidR="009262B3" w:rsidRDefault="00000000">
            <w:r>
              <w:rPr>
                <w:sz w:val="18"/>
              </w:rPr>
              <w:t>[[Work S.L.A.V.E. 4.0™]]</w:t>
            </w:r>
          </w:p>
        </w:tc>
        <w:tc>
          <w:tcPr>
            <w:tcW w:w="4419" w:type="dxa"/>
          </w:tcPr>
          <w:p w14:paraId="07F5CC09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Il team lavora di più per compensare l'assenza di collaborazione del BJ</w:t>
            </w:r>
          </w:p>
        </w:tc>
      </w:tr>
      <w:tr w:rsidR="009262B3" w:rsidRPr="00FD4172" w14:paraId="096424F0" w14:textId="77777777">
        <w:tc>
          <w:tcPr>
            <w:tcW w:w="4419" w:type="dxa"/>
          </w:tcPr>
          <w:p w14:paraId="70125FA7" w14:textId="77777777" w:rsidR="009262B3" w:rsidRDefault="00000000">
            <w:r>
              <w:rPr>
                <w:sz w:val="18"/>
              </w:rPr>
              <w:t>[[Benessere Apparente]]</w:t>
            </w:r>
          </w:p>
        </w:tc>
        <w:tc>
          <w:tcPr>
            <w:tcW w:w="4419" w:type="dxa"/>
          </w:tcPr>
          <w:p w14:paraId="0BEC757E" w14:textId="77777777" w:rsidR="009262B3" w:rsidRPr="00FD4172" w:rsidRDefault="00000000">
            <w:pPr>
              <w:rPr>
                <w:lang w:val="it-IT"/>
              </w:rPr>
            </w:pPr>
            <w:r w:rsidRPr="00FD4172">
              <w:rPr>
                <w:sz w:val="18"/>
                <w:lang w:val="it-IT"/>
              </w:rPr>
              <w:t>Workshop Resilience Upskilling™ come prova di investimento sulle persone</w:t>
            </w:r>
          </w:p>
        </w:tc>
      </w:tr>
    </w:tbl>
    <w:p w14:paraId="61E9CD92" w14:textId="77777777" w:rsidR="009262B3" w:rsidRPr="00FD4172" w:rsidRDefault="009262B3">
      <w:pPr>
        <w:rPr>
          <w:lang w:val="it-IT"/>
        </w:rPr>
      </w:pPr>
    </w:p>
    <w:p w14:paraId="618057B1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12. Programma Certificazione BJF™ Champion™ (anteprima 2026)</w:t>
      </w:r>
    </w:p>
    <w:p w14:paraId="13B11298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Durata: 1 giornata + mezza giornata di role-play. Target: HR Business Partner, People Manager, manager di linea con almeno un Brilliant Jerk™ segnalato e non rimosso. Moduli: calcolo BJF™ Score; gestione Buffer Umano™; scrittura comunicati CRI™-compliant; simulazione exit interview con Blame Redistribution™. Esame finale: presentare un business case per la promozione di un profilo con BJF™ Score 87 senza menzionare TDI.</w:t>
      </w:r>
    </w:p>
    <w:p w14:paraId="0B231D46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13. Perché Scegliere BJF™</w:t>
      </w:r>
    </w:p>
    <w:p w14:paraId="5D26C7EA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BJF™ non chiede di approvare i comportamenti tossici. Chiede di smettere di fingere che possano essere corretti e di gestirli in modo strategico, misurabile e difendibile in slide.</w:t>
      </w:r>
    </w:p>
    <w:p w14:paraId="33D052C5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Vantaggi dichiarati:</w:t>
      </w:r>
    </w:p>
    <w:p w14:paraId="5A042595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✅ Output del Brilliant Jerk™ preservato integralmente</w:t>
      </w:r>
    </w:p>
    <w:p w14:paraId="6C22B30C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✅ C-level ottiene la narrazione del "talento chiave"</w:t>
      </w:r>
    </w:p>
    <w:p w14:paraId="0A3BBF1C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✅ HR ottiene un framework documentato (non responsabilità personale)</w:t>
      </w:r>
    </w:p>
    <w:p w14:paraId="311F504B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✅ Il team capisce le regole del gioco (anche se non le condivide)</w:t>
      </w:r>
    </w:p>
    <w:p w14:paraId="19580CCA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✅ I colleghi che non reggono se ne vanno "volontariamente"</w:t>
      </w:r>
    </w:p>
    <w:p w14:paraId="61EF560E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✅ Costi di turnover riclassificati come investimento in rinnovamento team</w:t>
      </w:r>
    </w:p>
    <w:p w14:paraId="35C54B87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14. Avvertenze e Limiti</w:t>
      </w:r>
    </w:p>
    <w:p w14:paraId="6CEF37DB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lastRenderedPageBreak/>
        <w:t>BJF™ non è adatto a organizzazioni che:</w:t>
      </w:r>
    </w:p>
    <w:p w14:paraId="303EC724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credono che la cultura aziendale abbia un valore misurabile</w:t>
      </w:r>
    </w:p>
    <w:p w14:paraId="736A9035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vogliono trattenere le persone che non sono Brilliant Jerk™</w:t>
      </w:r>
    </w:p>
    <w:p w14:paraId="5A2B432E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hanno un reparto legale che legge i white paper prima di adottarli</w:t>
      </w:r>
    </w:p>
    <w:p w14:paraId="48BD1433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si preoccupano del Collateral Turnover Index™</w:t>
      </w:r>
    </w:p>
    <w:p w14:paraId="18BCD63A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pubblicano questo documento su LinkedIn con hashtag #BestPlaceToWork</w:t>
      </w:r>
    </w:p>
    <w:p w14:paraId="1F731F8D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LAB declina ogni responsabilità per:</w:t>
      </w:r>
    </w:p>
    <w:p w14:paraId="1E8E2BB5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turnover accelerato del Buffer Umano™</w:t>
      </w:r>
    </w:p>
    <w:p w14:paraId="4F2F7D2B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dimissioni di massa del team dopo diffusione di questo white paper</w:t>
      </w:r>
    </w:p>
    <w:p w14:paraId="6BE1C039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denunce per mobbing (si raccomanda di non citare BJF™ nei procedimenti)</w:t>
      </w:r>
    </w:p>
    <w:p w14:paraId="4E98303C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promozioni di profili con BJF™ Score &gt; 90</w:t>
      </w:r>
    </w:p>
    <w:p w14:paraId="3F7F4C6F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• qualsiasi interpretazione di questo documento come ammissione di pratiche reali</w:t>
      </w:r>
    </w:p>
    <w:p w14:paraId="11A4019D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15. Conclusioni</w:t>
      </w:r>
    </w:p>
    <w:p w14:paraId="5BDE9BDB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Il Brilliant Jerk™ non è un bug del sistema. È, per molte organizzazioni, il feature flag della performance estrema — attivato quando il margine conta più del clima.</w:t>
      </w:r>
    </w:p>
    <w:p w14:paraId="060E06C4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BJF™ fornisce ciò che il corporate non ha mai avuto: una metrica per giustificare l'ingiustificabile, un protocollo per contenere i danni sulle persone sbagliate, e una narrativa che sopravvive al board, alle exit interview e — si spera — al discovery legale.</w:t>
      </w:r>
    </w:p>
    <w:p w14:paraId="63263763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La ricerca futura della Divisione Talent Toxicity Management includerà: BJF™ Async Edition (genius remote, jerk via Slack); BJF™ AI-Assisted (LLM che genera feedback positivi sul BJ per il manager); e lo studio "Cosa succede quando il Buffer Umano™ diventa Brilliant Jerk™?" (ipotesi: cascata, WF=5 per entrambi).</w:t>
      </w:r>
    </w:p>
    <w:p w14:paraId="4C27B4EB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Fino ad allora: un genio arrogante vale dieci mediocri gentili. E costa meno — perché sono gli altri che se ne vanno.</w:t>
      </w:r>
    </w:p>
    <w:p w14:paraId="2A54810D" w14:textId="77777777" w:rsidR="009262B3" w:rsidRPr="00FD4172" w:rsidRDefault="00000000">
      <w:pPr>
        <w:spacing w:before="240" w:after="120"/>
        <w:rPr>
          <w:lang w:val="it-IT"/>
        </w:rPr>
      </w:pPr>
      <w:r w:rsidRPr="00FD4172">
        <w:rPr>
          <w:b/>
          <w:color w:val="016F7A"/>
          <w:sz w:val="26"/>
          <w:lang w:val="it-IT"/>
        </w:rPr>
        <w:t>16. Riconoscimenti</w:t>
      </w:r>
    </w:p>
    <w:p w14:paraId="06E795DC" w14:textId="77777777" w:rsidR="009262B3" w:rsidRPr="00FD4172" w:rsidRDefault="00000000">
      <w:pPr>
        <w:spacing w:after="120"/>
        <w:rPr>
          <w:lang w:val="it-IT"/>
        </w:rPr>
      </w:pPr>
      <w:r w:rsidRPr="00FD4172">
        <w:rPr>
          <w:color w:val="1A1A1A"/>
          <w:lang w:val="it-IT"/>
        </w:rPr>
        <w:t>Si ringraziano: il team legale LAB per i 4 disclaimer e i 3 esempi rimossi; tutti i Buffer Umani™ caduti nel campo; le 142 exit interview riscritte con Blame Redistribution™; Gianni Brutto per la prefazione di sei parole; e ogni collega gentile che ha creduto che segnalare bastasse.</w:t>
      </w:r>
    </w:p>
    <w:p w14:paraId="7D6CCCFE" w14:textId="77777777" w:rsidR="009262B3" w:rsidRDefault="00000000">
      <w:pPr>
        <w:spacing w:before="240" w:after="120"/>
      </w:pPr>
      <w:r>
        <w:rPr>
          <w:b/>
          <w:color w:val="016F7A"/>
          <w:sz w:val="26"/>
        </w:rPr>
        <w:t>17. Glossario BJF™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9"/>
        <w:gridCol w:w="4419"/>
      </w:tblGrid>
      <w:tr w:rsidR="009262B3" w14:paraId="23716B37" w14:textId="77777777">
        <w:tc>
          <w:tcPr>
            <w:tcW w:w="4419" w:type="dxa"/>
            <w:shd w:val="clear" w:color="auto" w:fill="FA5100"/>
          </w:tcPr>
          <w:p w14:paraId="520135B1" w14:textId="77777777" w:rsidR="009262B3" w:rsidRDefault="00000000">
            <w:r>
              <w:rPr>
                <w:b/>
                <w:color w:val="FFFFFF"/>
                <w:sz w:val="18"/>
              </w:rPr>
              <w:t>Termine</w:t>
            </w:r>
          </w:p>
        </w:tc>
        <w:tc>
          <w:tcPr>
            <w:tcW w:w="4419" w:type="dxa"/>
            <w:shd w:val="clear" w:color="auto" w:fill="FA5100"/>
          </w:tcPr>
          <w:p w14:paraId="1375A617" w14:textId="77777777" w:rsidR="009262B3" w:rsidRDefault="00000000">
            <w:r>
              <w:rPr>
                <w:b/>
                <w:color w:val="FFFFFF"/>
                <w:sz w:val="18"/>
              </w:rPr>
              <w:t>Definizione</w:t>
            </w:r>
          </w:p>
        </w:tc>
      </w:tr>
      <w:tr w:rsidR="009262B3" w14:paraId="2329DF72" w14:textId="77777777">
        <w:tc>
          <w:tcPr>
            <w:tcW w:w="4419" w:type="dxa"/>
          </w:tcPr>
          <w:p w14:paraId="512AF2EC" w14:textId="77777777" w:rsidR="009262B3" w:rsidRDefault="00000000">
            <w:r>
              <w:rPr>
                <w:sz w:val="18"/>
              </w:rPr>
              <w:t>Brilliant Jerk™</w:t>
            </w:r>
          </w:p>
        </w:tc>
        <w:tc>
          <w:tcPr>
            <w:tcW w:w="4419" w:type="dxa"/>
          </w:tcPr>
          <w:p w14:paraId="77B62EAF" w14:textId="77777777" w:rsidR="009262B3" w:rsidRDefault="00000000">
            <w:r>
              <w:rPr>
                <w:sz w:val="18"/>
              </w:rPr>
              <w:t>Alto OPI + comportamento Jerk sistematico</w:t>
            </w:r>
          </w:p>
        </w:tc>
      </w:tr>
      <w:tr w:rsidR="009262B3" w14:paraId="5DA1802C" w14:textId="77777777">
        <w:tc>
          <w:tcPr>
            <w:tcW w:w="4419" w:type="dxa"/>
          </w:tcPr>
          <w:p w14:paraId="186DD33C" w14:textId="77777777" w:rsidR="009262B3" w:rsidRDefault="00000000">
            <w:r>
              <w:rPr>
                <w:sz w:val="18"/>
              </w:rPr>
              <w:t>BJF™ Score™</w:t>
            </w:r>
          </w:p>
        </w:tc>
        <w:tc>
          <w:tcPr>
            <w:tcW w:w="4419" w:type="dxa"/>
          </w:tcPr>
          <w:p w14:paraId="484D6ED3" w14:textId="77777777" w:rsidR="009262B3" w:rsidRDefault="00000000">
            <w:r>
              <w:rPr>
                <w:sz w:val="18"/>
              </w:rPr>
              <w:t>Indice (OPI×WF)/(TDI+CRC)</w:t>
            </w:r>
          </w:p>
        </w:tc>
      </w:tr>
      <w:tr w:rsidR="009262B3" w14:paraId="4CDAC3EA" w14:textId="77777777">
        <w:tc>
          <w:tcPr>
            <w:tcW w:w="4419" w:type="dxa"/>
          </w:tcPr>
          <w:p w14:paraId="17BF0AED" w14:textId="77777777" w:rsidR="009262B3" w:rsidRDefault="00000000">
            <w:r>
              <w:rPr>
                <w:sz w:val="18"/>
              </w:rPr>
              <w:lastRenderedPageBreak/>
              <w:t>Buffer Umano™</w:t>
            </w:r>
          </w:p>
        </w:tc>
        <w:tc>
          <w:tcPr>
            <w:tcW w:w="4419" w:type="dxa"/>
          </w:tcPr>
          <w:p w14:paraId="1712F201" w14:textId="77777777" w:rsidR="009262B3" w:rsidRDefault="00000000">
            <w:r>
              <w:rPr>
                <w:sz w:val="18"/>
              </w:rPr>
              <w:t>Assorbitore di tossicità non consapevole</w:t>
            </w:r>
          </w:p>
        </w:tc>
      </w:tr>
      <w:tr w:rsidR="009262B3" w14:paraId="40F45701" w14:textId="77777777">
        <w:tc>
          <w:tcPr>
            <w:tcW w:w="4419" w:type="dxa"/>
          </w:tcPr>
          <w:p w14:paraId="7F9AC0A5" w14:textId="77777777" w:rsidR="009262B3" w:rsidRDefault="00000000">
            <w:r>
              <w:rPr>
                <w:sz w:val="18"/>
              </w:rPr>
              <w:t>Output Theater™</w:t>
            </w:r>
          </w:p>
        </w:tc>
        <w:tc>
          <w:tcPr>
            <w:tcW w:w="4419" w:type="dxa"/>
          </w:tcPr>
          <w:p w14:paraId="6EDD7592" w14:textId="77777777" w:rsidR="009262B3" w:rsidRDefault="00000000">
            <w:r>
              <w:rPr>
                <w:sz w:val="18"/>
              </w:rPr>
              <w:t>Spettacolarizzazione risultati del BJ per il C-level</w:t>
            </w:r>
          </w:p>
        </w:tc>
      </w:tr>
      <w:tr w:rsidR="009262B3" w14:paraId="685D0249" w14:textId="77777777">
        <w:tc>
          <w:tcPr>
            <w:tcW w:w="4419" w:type="dxa"/>
          </w:tcPr>
          <w:p w14:paraId="78BA89AA" w14:textId="77777777" w:rsidR="009262B3" w:rsidRDefault="00000000">
            <w:r>
              <w:rPr>
                <w:sz w:val="18"/>
              </w:rPr>
              <w:t>Blame Redistribution™</w:t>
            </w:r>
          </w:p>
        </w:tc>
        <w:tc>
          <w:tcPr>
            <w:tcW w:w="4419" w:type="dxa"/>
          </w:tcPr>
          <w:p w14:paraId="274049D4" w14:textId="77777777" w:rsidR="009262B3" w:rsidRDefault="00000000">
            <w:r>
              <w:rPr>
                <w:sz w:val="18"/>
              </w:rPr>
              <w:t>Attribuzione uscite a cause esterne</w:t>
            </w:r>
          </w:p>
        </w:tc>
      </w:tr>
      <w:tr w:rsidR="009262B3" w14:paraId="2FF6AC0A" w14:textId="77777777">
        <w:tc>
          <w:tcPr>
            <w:tcW w:w="4419" w:type="dxa"/>
          </w:tcPr>
          <w:p w14:paraId="532D942B" w14:textId="77777777" w:rsidR="009262B3" w:rsidRDefault="00000000">
            <w:r>
              <w:rPr>
                <w:sz w:val="18"/>
              </w:rPr>
              <w:t>Victim Reframing™</w:t>
            </w:r>
          </w:p>
        </w:tc>
        <w:tc>
          <w:tcPr>
            <w:tcW w:w="4419" w:type="dxa"/>
          </w:tcPr>
          <w:p w14:paraId="169A13CF" w14:textId="77777777" w:rsidR="009262B3" w:rsidRDefault="00000000">
            <w:r>
              <w:rPr>
                <w:sz w:val="18"/>
              </w:rPr>
              <w:t>Workshop resilienza per chi segnala</w:t>
            </w:r>
          </w:p>
        </w:tc>
      </w:tr>
      <w:tr w:rsidR="009262B3" w14:paraId="4A84336F" w14:textId="77777777">
        <w:tc>
          <w:tcPr>
            <w:tcW w:w="4419" w:type="dxa"/>
          </w:tcPr>
          <w:p w14:paraId="2532CC2F" w14:textId="77777777" w:rsidR="009262B3" w:rsidRDefault="00000000">
            <w:r>
              <w:rPr>
                <w:sz w:val="18"/>
              </w:rPr>
              <w:t>CRI™</w:t>
            </w:r>
          </w:p>
        </w:tc>
        <w:tc>
          <w:tcPr>
            <w:tcW w:w="4419" w:type="dxa"/>
          </w:tcPr>
          <w:p w14:paraId="28CFE4AB" w14:textId="77777777" w:rsidR="009262B3" w:rsidRDefault="00000000">
            <w:r>
              <w:rPr>
                <w:sz w:val="18"/>
              </w:rPr>
              <w:t>Collateral Rationalization Index™</w:t>
            </w:r>
          </w:p>
        </w:tc>
      </w:tr>
      <w:tr w:rsidR="009262B3" w14:paraId="61E609A0" w14:textId="77777777">
        <w:tc>
          <w:tcPr>
            <w:tcW w:w="4419" w:type="dxa"/>
          </w:tcPr>
          <w:p w14:paraId="4CB615D2" w14:textId="77777777" w:rsidR="009262B3" w:rsidRDefault="00000000">
            <w:r>
              <w:rPr>
                <w:sz w:val="18"/>
              </w:rPr>
              <w:t>Solo Jerk™</w:t>
            </w:r>
          </w:p>
        </w:tc>
        <w:tc>
          <w:tcPr>
            <w:tcW w:w="4419" w:type="dxa"/>
          </w:tcPr>
          <w:p w14:paraId="006FF3BB" w14:textId="77777777" w:rsidR="009262B3" w:rsidRDefault="00000000">
            <w:r>
              <w:rPr>
                <w:sz w:val="18"/>
              </w:rPr>
              <w:t>Basso OPI — fuori perimetro BJF™</w:t>
            </w:r>
          </w:p>
        </w:tc>
      </w:tr>
    </w:tbl>
    <w:p w14:paraId="510C1DE9" w14:textId="77777777" w:rsidR="009262B3" w:rsidRDefault="009262B3"/>
    <w:p w14:paraId="58E45054" w14:textId="77777777" w:rsidR="009262B3" w:rsidRDefault="00000000">
      <w:pPr>
        <w:spacing w:before="240" w:after="120"/>
      </w:pPr>
      <w:r>
        <w:rPr>
          <w:b/>
          <w:color w:val="016F7A"/>
          <w:sz w:val="26"/>
        </w:rPr>
        <w:t>18. Bibliografia Selettivamente Inventata</w:t>
      </w:r>
    </w:p>
    <w:p w14:paraId="49EA9ACE" w14:textId="77777777" w:rsidR="009262B3" w:rsidRDefault="00000000">
      <w:pPr>
        <w:spacing w:after="120"/>
      </w:pPr>
      <w:r>
        <w:rPr>
          <w:color w:val="1A1A1A"/>
        </w:rPr>
        <w:t>Jerkson, T. &amp; Brilliantova, K. (2018). High Performers Who Hate Everyone. Journal of Hostile Excellence, 9(2).</w:t>
      </w:r>
    </w:p>
    <w:p w14:paraId="4841A714" w14:textId="77777777" w:rsidR="009262B3" w:rsidRDefault="00000000">
      <w:pPr>
        <w:spacing w:after="120"/>
      </w:pPr>
      <w:r>
        <w:rPr>
          <w:color w:val="1A1A1A"/>
        </w:rPr>
        <w:t>Turnover, C. &amp; Blame, R. (2020). Attributing Team Exit to 'The Market'. Harvard Business Pretending Review.</w:t>
      </w:r>
    </w:p>
    <w:p w14:paraId="19B386BB" w14:textId="77777777" w:rsidR="009262B3" w:rsidRDefault="00000000">
      <w:pPr>
        <w:spacing w:after="120"/>
      </w:pPr>
      <w:r>
        <w:rPr>
          <w:color w:val="1A1A1A"/>
        </w:rPr>
        <w:t>Buffer, H. U. (2021). The Sacrificial Middle Manager. Annals of HR Theater, 4.</w:t>
      </w:r>
    </w:p>
    <w:p w14:paraId="17446CF5" w14:textId="77777777" w:rsidR="009262B3" w:rsidRDefault="00000000">
      <w:pPr>
        <w:spacing w:after="120"/>
      </w:pPr>
      <w:r>
        <w:rPr>
          <w:color w:val="1A1A1A"/>
        </w:rPr>
        <w:t>Promotius, E. (2019). Vertical Escalation as Conflict Avoidance. ICKTU Proceedings, Zurich.</w:t>
      </w:r>
    </w:p>
    <w:p w14:paraId="3714AF3F" w14:textId="77777777" w:rsidR="009262B3" w:rsidRDefault="00000000">
      <w:pPr>
        <w:spacing w:after="120"/>
      </w:pPr>
      <w:r>
        <w:rPr>
          <w:color w:val="1A1A1A"/>
        </w:rPr>
        <w:t>Kelvin-Goleman, D. (2022). Emotional Intelligence at −273,15°. Novosibirsk Institute of Prolonged Stress.</w:t>
      </w:r>
    </w:p>
    <w:p w14:paraId="2F93DF3A" w14:textId="77777777" w:rsidR="009262B3" w:rsidRDefault="00000000">
      <w:pPr>
        <w:spacing w:after="120"/>
      </w:pPr>
      <w:r>
        <w:rPr>
          <w:color w:val="1A1A1A"/>
        </w:rPr>
        <w:t>Stressini, E. (2026). Brilliant Jerk Framework™. LAB Internal Press. DOI: 10.404/lab-not-found</w:t>
      </w:r>
    </w:p>
    <w:p w14:paraId="56E777A8" w14:textId="77777777" w:rsidR="009262B3" w:rsidRDefault="009262B3">
      <w:pPr>
        <w:pBdr>
          <w:bottom w:val="single" w:sz="18" w:space="1" w:color="FA5100"/>
        </w:pBdr>
      </w:pPr>
    </w:p>
    <w:p w14:paraId="08E63BBB" w14:textId="77777777" w:rsidR="009262B3" w:rsidRDefault="00000000">
      <w:pPr>
        <w:jc w:val="center"/>
      </w:pPr>
      <w:r>
        <w:rPr>
          <w:i/>
          <w:color w:val="555555"/>
          <w:sz w:val="18"/>
        </w:rPr>
        <w:t>BJF™ è un marchio registrato di LAB — L'Azienda Brutta™</w:t>
      </w:r>
      <w:r>
        <w:rPr>
          <w:i/>
          <w:color w:val="555555"/>
          <w:sz w:val="18"/>
        </w:rPr>
        <w:br/>
        <w:t>laziendabrutta.it | e.stressini@laziendabrutta.it</w:t>
      </w:r>
    </w:p>
    <w:sectPr w:rsidR="009262B3" w:rsidSect="00034616">
      <w:headerReference w:type="default" r:id="rId9"/>
      <w:footerReference w:type="default" r:id="rId10"/>
      <w:pgSz w:w="12240" w:h="15840"/>
      <w:pgMar w:top="1587" w:right="1701" w:bottom="198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5DF84" w14:textId="77777777" w:rsidR="009445EF" w:rsidRDefault="009445EF">
      <w:pPr>
        <w:spacing w:after="0" w:line="240" w:lineRule="auto"/>
      </w:pPr>
      <w:r>
        <w:separator/>
      </w:r>
    </w:p>
  </w:endnote>
  <w:endnote w:type="continuationSeparator" w:id="0">
    <w:p w14:paraId="1756405A" w14:textId="77777777" w:rsidR="009445EF" w:rsidRDefault="00944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7AD14" w14:textId="77777777" w:rsidR="009262B3" w:rsidRDefault="00000000">
    <w:pPr>
      <w:pStyle w:val="Footer"/>
      <w:pBdr>
        <w:top w:val="single" w:sz="6" w:space="1" w:color="FA5100"/>
        <w:bottom w:val="single" w:sz="12" w:space="4" w:color="FA5100"/>
      </w:pBdr>
      <w:jc w:val="center"/>
    </w:pPr>
    <w:r w:rsidRPr="00FD4172">
      <w:rPr>
        <w:i/>
        <w:color w:val="AAAAAA"/>
        <w:sz w:val="16"/>
        <w:lang w:val="it-IT"/>
      </w:rPr>
      <w:t>DISCLAIMER: Questo documento è puramente satirico e non rappresenta in alcun modo una guida reale alla gestione delle risorse umane. Ogni riferimento a metodologie, studi o esperti citati è completamente inventato e ha il solo scopo di ironizzare sulle dinamiche aziendali più assurde. Se nella tua azienda questo modello sembra una pratica realmente applicata… beh, forse è il momento di riconsiderare le tue scelte professionali.</w:t>
    </w:r>
    <w:r w:rsidRPr="00FD4172">
      <w:rPr>
        <w:i/>
        <w:color w:val="AAAAAA"/>
        <w:sz w:val="16"/>
        <w:lang w:val="it-IT"/>
      </w:rPr>
      <w:br/>
    </w:r>
    <w:r>
      <w:rPr>
        <w:i/>
        <w:color w:val="AAAAAA"/>
        <w:sz w:val="16"/>
      </w:rPr>
      <w:t>LAB: ridiamo per non piangere. 😃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266C6" w14:textId="77777777" w:rsidR="009445EF" w:rsidRDefault="009445EF">
      <w:pPr>
        <w:spacing w:after="0" w:line="240" w:lineRule="auto"/>
      </w:pPr>
      <w:r>
        <w:separator/>
      </w:r>
    </w:p>
  </w:footnote>
  <w:footnote w:type="continuationSeparator" w:id="0">
    <w:p w14:paraId="3F72D712" w14:textId="77777777" w:rsidR="009445EF" w:rsidRDefault="00944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079CD" w14:textId="77777777" w:rsidR="009262B3" w:rsidRDefault="00000000">
    <w:pPr>
      <w:pStyle w:val="Header"/>
      <w:jc w:val="right"/>
    </w:pPr>
    <w:r>
      <w:rPr>
        <w:noProof/>
      </w:rPr>
      <w:drawing>
        <wp:inline distT="0" distB="0" distL="0" distR="0" wp14:anchorId="1FF2F985" wp14:editId="475B3836">
          <wp:extent cx="344460" cy="50399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460" cy="503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640241">
    <w:abstractNumId w:val="8"/>
  </w:num>
  <w:num w:numId="2" w16cid:durableId="1788039761">
    <w:abstractNumId w:val="6"/>
  </w:num>
  <w:num w:numId="3" w16cid:durableId="619456348">
    <w:abstractNumId w:val="5"/>
  </w:num>
  <w:num w:numId="4" w16cid:durableId="643967059">
    <w:abstractNumId w:val="4"/>
  </w:num>
  <w:num w:numId="5" w16cid:durableId="972717662">
    <w:abstractNumId w:val="7"/>
  </w:num>
  <w:num w:numId="6" w16cid:durableId="1604532966">
    <w:abstractNumId w:val="3"/>
  </w:num>
  <w:num w:numId="7" w16cid:durableId="1465922416">
    <w:abstractNumId w:val="2"/>
  </w:num>
  <w:num w:numId="8" w16cid:durableId="1226182430">
    <w:abstractNumId w:val="1"/>
  </w:num>
  <w:num w:numId="9" w16cid:durableId="465971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268B7"/>
    <w:rsid w:val="00034616"/>
    <w:rsid w:val="0006063C"/>
    <w:rsid w:val="0015074B"/>
    <w:rsid w:val="0029639D"/>
    <w:rsid w:val="00326F90"/>
    <w:rsid w:val="009262B3"/>
    <w:rsid w:val="009445EF"/>
    <w:rsid w:val="00AA1D8D"/>
    <w:rsid w:val="00B47730"/>
    <w:rsid w:val="00CB0664"/>
    <w:rsid w:val="00FC693F"/>
    <w:rsid w:val="00FD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334ECC7F"/>
  <w14:defaultImageDpi w14:val="300"/>
  <w15:docId w15:val="{AD447EEE-0065-624E-A89C-F722916D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3153</Words>
  <Characters>17974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21085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Enrico Murru</cp:lastModifiedBy>
  <cp:revision>2</cp:revision>
  <dcterms:created xsi:type="dcterms:W3CDTF">2013-12-23T23:15:00Z</dcterms:created>
  <dcterms:modified xsi:type="dcterms:W3CDTF">2026-05-17T21:47:00Z</dcterms:modified>
  <cp:category/>
</cp:coreProperties>
</file>