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FA5100"/>
          <w:sz w:val="18"/>
        </w:rPr>
        <w:t>WHITE PAPER</w:t>
      </w:r>
    </w:p>
    <w:p>
      <w:pPr>
        <w:pBdr>
          <w:bottom w:val="single" w:sz="18" w:space="1" w:color="FA5100"/>
        </w:pBdr>
      </w:pPr>
    </w:p>
    <w:p>
      <w:r>
        <w:rPr>
          <w:b/>
          <w:color w:val="071F1D"/>
          <w:sz w:val="52"/>
        </w:rPr>
        <w:t>DTW™ — Design Thinking Washing™ White Paper</w:t>
      </w:r>
    </w:p>
    <w:p>
      <w:r>
        <w:rPr>
          <w:i/>
          <w:color w:val="016F7A"/>
          <w:sz w:val="28"/>
        </w:rPr>
        <w:t>Come trasformare ogni decisione già presa in un processo human-centered certificato, misurabile e fotografabile</w:t>
      </w:r>
    </w:p>
    <w:p>
      <w:pPr>
        <w:spacing w:before="240" w:after="120"/>
      </w:pPr>
      <w:r>
        <w:rPr>
          <w:b/>
          <w:color w:val="016F7A"/>
          <w:sz w:val="26"/>
        </w:rPr>
        <w:t>Autori</w:t>
      </w:r>
    </w:p>
    <w:p>
      <w:pPr>
        <w:spacing w:after="60"/>
      </w:pPr>
      <w:r>
        <w:rPr>
          <w:b w:val="0"/>
          <w:i w:val="0"/>
          <w:color w:val="555555"/>
          <w:sz w:val="20"/>
        </w:rPr>
        <w:t>Valerio Svitoloni, PhD (Post-it), MSc (Oxydation) — C.I.U.P.A., Reparto Innovazione Riflessiva, LAB</w:t>
      </w:r>
    </w:p>
    <w:p>
      <w:pPr>
        <w:spacing w:after="60"/>
      </w:pPr>
      <w:r>
        <w:rPr>
          <w:b w:val="0"/>
          <w:i w:val="0"/>
          <w:color w:val="555555"/>
          <w:sz w:val="20"/>
        </w:rPr>
        <w:t>Gianni Brutto — CEO, Supervisione strategica</w:t>
      </w:r>
    </w:p>
    <w:p>
      <w:pPr>
        <w:spacing w:after="60"/>
      </w:pPr>
      <w:r>
        <w:rPr>
          <w:b w:val="0"/>
          <w:i w:val="0"/>
          <w:color w:val="555555"/>
          <w:sz w:val="20"/>
        </w:rPr>
        <w:t>Con la consulenza esterna di:</w:t>
      </w:r>
    </w:p>
    <w:p>
      <w:pPr>
        <w:spacing w:after="60"/>
      </w:pPr>
      <w:r>
        <w:rPr>
          <w:b w:val="0"/>
          <w:i w:val="0"/>
          <w:color w:val="555555"/>
          <w:sz w:val="20"/>
        </w:rPr>
        <w:t>Prof. Stickleton Post — Istituto Internazionale di Facilitazione Superficiale (IIFS), Ginevra</w:t>
      </w:r>
    </w:p>
    <w:p>
      <w:pPr>
        <w:spacing w:after="60"/>
      </w:pPr>
      <w:r>
        <w:rPr>
          <w:b w:val="0"/>
          <w:i w:val="0"/>
          <w:color w:val="555555"/>
          <w:sz w:val="20"/>
        </w:rPr>
        <w:t>Tancredi Distratti — C.D.O., Approvazione grafica (terza bozza recuperata)</w:t>
      </w:r>
    </w:p>
    <w:p>
      <w:pPr>
        <w:spacing w:after="120"/>
      </w:pPr>
      <w:r>
        <w:rPr>
          <w:b w:val="0"/>
          <w:i/>
          <w:color w:val="555555"/>
          <w:sz w:val="20"/>
        </w:rPr>
        <w:t>Nota di pubblicazione: il presente report non è stato sottoposto a peer-review ma a peer-pressure.</w:t>
      </w:r>
    </w:p>
    <w:p/>
    <w:p>
      <w:pPr>
        <w:spacing w:after="120"/>
      </w:pPr>
      <w:r>
        <w:rPr>
          <w:b w:val="0"/>
          <w:i/>
          <w:color w:val="AAAAAA"/>
          <w:sz w:val="18"/>
        </w:rPr>
        <w:t>DISCLAIMER: Questo documento è puramente satirico e non rappresenta in alcun modo una guida reale alla gestione delle risorse umane. Ogni riferimento a metodologie, studi o esperti citati è completamente inventato e ha il solo scopo di ironizzare sulle dinamiche aziendali più assurde. Se nella tua azienda questo modello sembra una pratica realmente applicata… beh, forse è il momento di riconsiderare le tue scelte professionali.</w:t>
        <w:br/>
        <w:t>LAB: ridiamo per non piangere. 😃</w:t>
      </w:r>
    </w:p>
    <w:p>
      <w:pPr>
        <w:pBdr>
          <w:bottom w:val="single" w:sz="18" w:space="1" w:color="FA5100"/>
        </w:pBdr>
      </w:pPr>
    </w:p>
    <w:p>
      <w:pPr>
        <w:spacing w:before="240" w:after="120"/>
      </w:pPr>
      <w:r>
        <w:rPr>
          <w:b/>
          <w:color w:val="016F7A"/>
          <w:sz w:val="26"/>
        </w:rPr>
        <w:t>Executive Summary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Il Design Thinking Washing™ (DTW™) è la risposta di LAB — L'Azienda Brutta™ a una domanda che attraversa silenziosamente ogni organizzazione media-grande: come dare dignità narrativa a decisioni già prese, trasformandole in output di un processo creativo strutturato, misurabile e fatturabile?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DTW™ non è problem solving. È problem decorating: il problema resta intatto; cambiano cornice, legittimità metodologica e qualità delle foto su LinkedIn. Tra gennaio 2024 e dicembre 2025 LAB ha osservato 47 workshop corporate. Il Decision Convergence Index™ (DCI™) medio 2025 è del 97,3%: nel 94% dei casi l'output coincide con la decisione pre-workshop; nel 6% restante la variante è solo semantica (es. «3 CSM» → «3 Customer Happiness Architect»).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Questo documento presenta quadro teorico, letteratura selettivamente inventata, metodologia in cinque fasi, KPI, pacchetto DTW™ Offsite Edition, case study e raccomandazioni. Claim operativo: DTW™ ottimizza la percezione del processo — non il processo in sé, che può essere omesso senza perdita di risultato ma non senza perdita di fatturato consulenziale.</w:t>
      </w:r>
    </w:p>
    <w:p>
      <w:pPr>
        <w:spacing w:before="240" w:after="120"/>
      </w:pPr>
      <w:r>
        <w:rPr>
          <w:b/>
          <w:color w:val="016F7A"/>
          <w:sz w:val="26"/>
        </w:rPr>
        <w:t>1. Introduzione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Le organizzazioni moderne devono sembrare innovative, human-centered e partecipative, pur mantenendo decisioni centralizzate e roadmap già approvate dal board. Il Design Thinking classico promette di risolvere questo paradosso con empatia e iterazione. LAB osserva un paradosso secondario: le decisioni strategiche sono spesso prese prima che il problema sia compreso, ma devono apparire come esito di un percorso rigoroso. Il workshop non è luogo della decisione; è luogo della legittimazione.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DTW™ formalizza questa dinamica. Non combatte l'Innovation Theater: lo industrializza. È indicato per chi ha già deciso cosa fare e cerca come dirlo al team; per offsite già prenotati; per report di sostenibilità/innovation. È sconsigliato a chi intervista utenti reali prima del workshop — il DCI™ può scendere sotto l'80%, generando disagio nel steering.</w:t>
      </w:r>
    </w:p>
    <w:p>
      <w:pPr>
        <w:spacing w:before="240" w:after="120"/>
      </w:pPr>
      <w:r>
        <w:rPr>
          <w:b/>
          <w:color w:val="016F7A"/>
          <w:sz w:val="26"/>
        </w:rPr>
        <w:t>2. Revisione della (Finta) Letteratura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Post-it, P. &amp; Sticky, N. (2019). "Cluster Analysis of Orange Notes." Journal of Facilitation Theater, 12(3). Il 91% dei cluster finali riproduce "Frustrazione", "Bisogno latente" e "Opportunità".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Converge, A. &amp; Predetermin, E. (2021). "Decision Convergence Before Breakfast." Harvard Business Pretending Review. Campione: 112 executive. Conclusione: l'HMW statement è un ossimoro gentile.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Mirov, L. (2020). "Digital Whiteboards as Organizational Landfills." ICTFNRI, Tallinn. Il 78% dei board Miro non viene riaperto entro 90 giorni.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Facilitatorius, M. (2018). "Confusion with Catering." Annals of Hospitality Management Theater, 7. Nel 67% dei workshop il facilitatore è stato scambiato con il catering.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Kelvin-Goleman, D. (2022). "Emotional Intelligence at −273,15°." Novosibirsk Institute of Prolonged Stress. Zero interviste → empathy map "completa" nel 100% dei casi con sponsor presente.</w:t>
      </w:r>
    </w:p>
    <w:p>
      <w:pPr>
        <w:spacing w:after="120"/>
      </w:pPr>
      <w:r>
        <w:rPr>
          <w:b w:val="0"/>
          <w:i/>
          <w:color w:val="555555"/>
          <w:sz w:val="20"/>
        </w:rPr>
        <w:t>Nota metodologica LAB: tutti gli articoli sono inventati o recuperati da cache inesistente. Nessun danno accademico reale è stato arrecato.</w:t>
      </w:r>
    </w:p>
    <w:p>
      <w:pPr>
        <w:spacing w:before="240" w:after="120"/>
      </w:pPr>
      <w:r>
        <w:rPr>
          <w:b/>
          <w:color w:val="016F7A"/>
          <w:sz w:val="26"/>
        </w:rPr>
        <w:t>3. Metodologia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Campione: 47 workshop (612 partecipanti; 4 classificati come «ospiti dal catering»). Follow-up a 30/72/180 giorni (completato al 12% a 180 giorni: «non più prioritario»). Analisi: Test di «Chi-Se-Ne-Importa» con α ≈ 1; regressione tra post-it e percezione innovazione (R² = 0,93).</w:t>
      </w:r>
    </w:p>
    <w:p>
      <w:pPr>
        <w:spacing w:after="120"/>
      </w:pPr>
      <w:r>
        <w:rPr>
          <w:b/>
          <w:i w:val="0"/>
          <w:color w:val="1A1A1A"/>
          <w:sz w:val="22"/>
        </w:rPr>
        <w:t>Fase 1 — Pre-Empathize™ (45–90 min)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Obiettivo reale: confermare assunzioni già in slide 2023. Domande retoriche senza contatto utente. Post-it arancioni in cluster sempre «Frustrazione», «Bisogno latente», «Opportunità». Output: Empathy Map fotografabile. Rischio: «abbiamo dati?» → «I dati uccidono l'empatia».</w:t>
      </w:r>
    </w:p>
    <w:p>
      <w:pPr>
        <w:spacing w:after="120"/>
      </w:pPr>
      <w:r>
        <w:rPr>
          <w:b/>
          <w:i w:val="0"/>
          <w:color w:val="1A1A1A"/>
          <w:sz w:val="22"/>
        </w:rPr>
        <w:t>Fase 2 — Define (The Hard Way)™ (2–3 h)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Formula HMW™: «Come potremmo [azione già decisa] per [target] in modo da [KPI]?». Si generano ≥12 HMW™; vince quello sottolineato dal C-level al coffee break. Output: problem statement che suona aperto ma è il budget Q3.</w:t>
      </w:r>
    </w:p>
    <w:p>
      <w:pPr>
        <w:spacing w:after="120"/>
      </w:pPr>
      <w:r>
        <w:rPr>
          <w:b/>
          <w:i w:val="0"/>
          <w:color w:val="1A1A1A"/>
          <w:sz w:val="22"/>
        </w:rPr>
        <w:t>Fase 3 — Ideate (Fake Divergence)™ (3–4 h)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50+ idee; 40 scartate «non scalabili», 8 «già provate», 2 in roadmap. Reverse Brainstorming Selettivo™. Dot voting con Eye-Level Bias™ (idee del C-level all'altezza occhi). Output: Miro che non si riapre; PAR™ target 100% a 48h.</w:t>
      </w:r>
    </w:p>
    <w:p>
      <w:pPr>
        <w:spacing w:after="120"/>
      </w:pPr>
      <w:r>
        <w:rPr>
          <w:b/>
          <w:i w:val="0"/>
          <w:color w:val="1A1A1A"/>
          <w:sz w:val="22"/>
        </w:rPr>
        <w:t>Fase 4 — Prototype (PowerPoint Edition)™ (1 giorno)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Deck 24 slide: empathy recap, HMW™, journey 14 step, Visione 2030 con bolle. Nessun test utente; eventuale «stakeholder interni». Modificata 11 volte pre-board.</w:t>
      </w:r>
    </w:p>
    <w:p>
      <w:pPr>
        <w:spacing w:after="120"/>
      </w:pPr>
      <w:r>
        <w:rPr>
          <w:b/>
          <w:i w:val="0"/>
          <w:color w:val="1A1A1A"/>
          <w:sz w:val="22"/>
        </w:rPr>
        <w:t>Fase 5 — Deliver &amp; Forget™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Report 40–80 pagine su SharePoint (3 accessi, 2 dimessi in 6 mesi). Successo dichiarato nel report trimestrale. Output LAB: CV consulente. Output cliente: sensazione innovazione (decadimento medio 21 giorni).</w:t>
      </w:r>
    </w:p>
    <w:p>
      <w:pPr>
        <w:spacing w:before="240" w:after="120"/>
      </w:pPr>
      <w:r>
        <w:rPr>
          <w:b/>
          <w:color w:val="016F7A"/>
          <w:sz w:val="26"/>
        </w:rPr>
        <w:t>4. Risultati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Indicatore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Risultato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Nota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Allineamento output / decisione pre-workshop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94,0%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Coincidenza esatta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Variante semantica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3,3%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Stessa azione, titolo diverso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Disallineamento reale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2,7%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Corretto in follow-up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Post-it cestinati entro 72h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89,0%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PAR™ quasi al target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Personas rilette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0,0%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Nessuna eccezione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Facilitatore = catering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67,0%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Almeno un episodio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DCI™ medio 2025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97,3%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Record Q3: 99,1%</w:t>
            </w:r>
          </w:p>
        </w:tc>
      </w:tr>
    </w:tbl>
    <w:p/>
    <w:p>
      <w:pPr>
        <w:spacing w:after="120"/>
      </w:pPr>
      <w:r>
        <w:rPr>
          <w:b/>
          <w:i w:val="0"/>
          <w:color w:val="1A1A1A"/>
          <w:sz w:val="22"/>
        </w:rPr>
        <w:t>KPI proprietari DTW™: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09"/>
        <w:gridCol w:w="2209"/>
        <w:gridCol w:w="2209"/>
        <w:gridCol w:w="2209"/>
      </w:tblGrid>
      <w:tr>
        <w:tc>
          <w:tcPr>
            <w:tcW w:type="dxa" w:w="2209"/>
            <w:shd w:fill="FA5100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  <w:tc>
          <w:tcPr>
            <w:tcW w:type="dxa" w:w="2209"/>
            <w:shd w:fill="FA5100"/>
          </w:tcPr>
          <w:p>
            <w:r>
              <w:rPr>
                <w:b/>
                <w:color w:val="FFFFFF"/>
                <w:sz w:val="18"/>
              </w:rPr>
              <w:t>Descrizione</w:t>
            </w:r>
          </w:p>
        </w:tc>
        <w:tc>
          <w:tcPr>
            <w:tcW w:type="dxa" w:w="2209"/>
            <w:shd w:fill="FA5100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2209"/>
            <w:shd w:fill="FA5100"/>
          </w:tcPr>
          <w:p>
            <w:r>
              <w:rPr>
                <w:b/>
                <w:color w:val="FFFFFF"/>
                <w:sz w:val="18"/>
              </w:rPr>
              <w:t>Media 2025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PSI™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Post-it Saturation Index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&gt; 85%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91,2%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CQPI™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Caffè per Quota Partecipante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≥ 3,2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3,47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HMWs™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HMW generati pre-scelta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≥ 12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14,8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DCI™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Decision Convergence Index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≥ 90%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97,3%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FFS™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Facilitator Fatigue Score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≤ 15%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11,8%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PAR™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Post-it Abandonment Rate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96,4%</w:t>
            </w:r>
          </w:p>
        </w:tc>
      </w:tr>
      <w:tr>
        <w:tc>
          <w:tcPr>
            <w:tcW w:type="dxa" w:w="2209"/>
          </w:tcPr>
          <w:p>
            <w:r>
              <w:rPr>
                <w:sz w:val="18"/>
              </w:rPr>
              <w:t>LRI™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LinkedIn Readiness Index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&gt; 4,2/5</w:t>
            </w:r>
          </w:p>
        </w:tc>
        <w:tc>
          <w:tcPr>
            <w:tcW w:type="dxa" w:w="2209"/>
          </w:tcPr>
          <w:p>
            <w:r>
              <w:rPr>
                <w:sz w:val="18"/>
              </w:rPr>
              <w:t>4,6</w:t>
            </w:r>
          </w:p>
        </w:tc>
      </w:tr>
    </w:tbl>
    <w:p/>
    <w:p>
      <w:pPr>
        <w:spacing w:before="240" w:after="120"/>
      </w:pPr>
      <w:r>
        <w:rPr>
          <w:b/>
          <w:color w:val="016F7A"/>
          <w:sz w:val="26"/>
        </w:rPr>
        <w:t>5. Discussione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Quando il processo converge sulla decisione pre-esistente, non è scoperta ma legittimazione. Il DCI™ al 97% è successo metodologico, non fallimento epistemologico. Le organizzazioni comprano copertura narrativa contro la domanda «avete coinvolto il team?». Risposta: «Co-creato con 14,8 HMW™ e PSI™ al 91%». Innovazione accidentale (2,7%): trattare come incidente; workshop di riallineamento fatturabile.</w:t>
      </w:r>
    </w:p>
    <w:p>
      <w:pPr>
        <w:spacing w:before="240" w:after="120"/>
      </w:pPr>
      <w:r>
        <w:rPr>
          <w:b/>
          <w:color w:val="016F7A"/>
          <w:sz w:val="26"/>
        </w:rPr>
        <w:t>6. Raccomandazioni Manageriali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Pre-Empathize™ obbligatorio: vietare dati quantitativi in Fase 1.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Adottare DCI™ come KPI innovation (target ≥ 90%).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Budgetare PAR™ al 100%: post-it non devono sopravvivere al workshop.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Certificare facilitatori DTW™ (corso 2 giorni; esame con DCI™ ≥ 92%).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Estendere a DTW™ Offsite Edition: 3 giorni, resort 4★, 8–12 partecipanti.</w:t>
      </w:r>
    </w:p>
    <w:p>
      <w:pPr>
        <w:spacing w:after="60"/>
      </w:pPr>
      <w:r>
        <w:rPr>
          <w:b w:val="0"/>
          <w:i w:val="0"/>
          <w:color w:val="1A1A1A"/>
          <w:sz w:val="22"/>
        </w:rPr>
        <w:t>• Lessico: «co-creato» al posto di «deciso»; «razionalizzazione empatica» al posto di «tagli».</w:t>
      </w:r>
    </w:p>
    <w:p>
      <w:pPr>
        <w:spacing w:after="120"/>
      </w:pPr>
      <w:r>
        <w:rPr>
          <w:b/>
          <w:i w:val="0"/>
          <w:color w:val="1A1A1A"/>
          <w:sz w:val="22"/>
        </w:rPr>
        <w:t>DTW™ Offsite Edition — Agenda tipo: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Giorno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Mattina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Pomeriggio/Sera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Check-in, icebreaker animale (elefante), Pre-Empathize™, Define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Pranzo, HMW™, aperitivo, cena obbligatoria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Recap, Ideate, dot voting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Prototype PPT, spritz, cena networking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Presentazioni, next steps (nessuna nota)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Check-out 11:00; dimenticatoio 11:30</w:t>
            </w:r>
          </w:p>
        </w:tc>
      </w:tr>
    </w:tbl>
    <w:p/>
    <w:p>
      <w:pPr>
        <w:spacing w:before="240" w:after="120"/>
      </w:pPr>
      <w:r>
        <w:rPr>
          <w:b/>
          <w:color w:val="016F7A"/>
          <w:sz w:val="26"/>
        </w:rPr>
        <w:t>DTW™ vs Design Thinking — Quadro comparativo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Aspetto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Design Thinking</w:t>
            </w:r>
          </w:p>
        </w:tc>
        <w:tc>
          <w:tcPr>
            <w:tcW w:type="dxa" w:w="2946"/>
            <w:shd w:fill="FA5100"/>
          </w:tcPr>
          <w:p>
            <w:r>
              <w:rPr>
                <w:b/>
                <w:color w:val="FFFFFF"/>
                <w:sz w:val="18"/>
              </w:rPr>
              <w:t>DTW™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Obiettivo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Risolvere problemi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Decorare problemi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Utente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Intervistato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Citato retoricamente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Divergenza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Alternative genuine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Scelta tra opzioni pre-approvate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Prototipo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Testato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PowerPoint «validato»</w:t>
            </w:r>
          </w:p>
        </w:tc>
      </w:tr>
      <w:tr>
        <w:tc>
          <w:tcPr>
            <w:tcW w:type="dxa" w:w="2946"/>
          </w:tcPr>
          <w:p>
            <w:r>
              <w:rPr>
                <w:sz w:val="18"/>
              </w:rPr>
              <w:t>Successo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Impatto reale</w:t>
            </w:r>
          </w:p>
        </w:tc>
        <w:tc>
          <w:tcPr>
            <w:tcW w:type="dxa" w:w="2946"/>
          </w:tcPr>
          <w:p>
            <w:r>
              <w:rPr>
                <w:sz w:val="18"/>
              </w:rPr>
              <w:t>DCI™, PSI™, PAR™</w:t>
            </w:r>
          </w:p>
        </w:tc>
      </w:tr>
    </w:tbl>
    <w:p/>
    <w:p>
      <w:pPr>
        <w:spacing w:before="240" w:after="120"/>
      </w:pPr>
      <w:r>
        <w:rPr>
          <w:b/>
          <w:color w:val="016F7A"/>
          <w:sz w:val="26"/>
        </w:rPr>
        <w:t>Case Study</w:t>
      </w:r>
    </w:p>
    <w:p>
      <w:pPr>
        <w:spacing w:after="120"/>
      </w:pPr>
      <w:r>
        <w:rPr>
          <w:b/>
          <w:i w:val="0"/>
          <w:color w:val="1A1A1A"/>
          <w:sz w:val="22"/>
        </w:rPr>
        <w:t>Caso A — Manifatturiera del Nord (NDA)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Problema dichiarato: esperienza dipendenti in fabbrica. Decisione pre-workshop: nuova macchinetta del caffè. Percorso: 3 personas (Mario il Turnista, Federica la Supervisor, Il Nuovo), zero interviste; 53 idee Giorno 2 — scartati orari flessibili e bonus; mantenute macchinetta e area relax con pianta finta. HMW™: «Come potremmo energizzare il team attraverso momenti di pausa rigenerativa?» Output: macchinetta touch con display motivazionale. DCI™ 98%. PAR™ 100% a 48h. ROI percepito: «È stato trasformativo.»</w:t>
      </w:r>
    </w:p>
    <w:p>
      <w:pPr>
        <w:spacing w:after="120"/>
      </w:pPr>
      <w:r>
        <w:rPr>
          <w:b/>
          <w:i w:val="0"/>
          <w:color w:val="1A1A1A"/>
          <w:sz w:val="22"/>
        </w:rPr>
        <w:t>Caso B — Scale-up tecnologica, Serie B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Churn enterprise 18%; board chiede «innovation». Decisione: +3 CSM. Empathy map da VP Sales, 0 interviste. Deck Customer Journey Reimagined™ (22 slide). Raccomandazione: 3 Customer Happiness Architect (+12% stipendio vs CSM). DCI™ 100% (variante semantica). «Finalmente abbiamo un framework.» Effetto: team CS chiede secondo workshop (contratto in negoziazione).</w:t>
      </w:r>
    </w:p>
    <w:p>
      <w:pPr>
        <w:spacing w:after="120"/>
      </w:pPr>
      <w:r>
        <w:rPr>
          <w:b/>
          <w:i w:val="0"/>
          <w:color w:val="1A1A1A"/>
          <w:sz w:val="22"/>
        </w:rPr>
        <w:t>Caso C — Gruppo assicurativo (record DCI™)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Customer centricity per report annuale; RFP vendor già selezionato. CEO presente 2h Giorno 2. Tutte le alternative al vendor scartate «non compliant». DCI™ 99,1% — caso didattico per facilitatori.</w:t>
      </w:r>
    </w:p>
    <w:p>
      <w:pPr>
        <w:spacing w:before="240" w:after="120"/>
      </w:pPr>
      <w:r>
        <w:rPr>
          <w:b/>
          <w:color w:val="016F7A"/>
          <w:sz w:val="26"/>
        </w:rPr>
        <w:t>Certificazione Facilitatori DTW™ (2026)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Corso 2 giorni + 1 notte (stesso resort del cliente). Moduli: Pre-Empathize senza dati; HMW™ chiusi in forma aperta; gestione partecipante critico; fotografia sala (LRI™); smaltimento post-workshop. Esame: workshop 90 min con decisione pre-imposta; DCI™ minimo 92% per il pass.</w:t>
      </w:r>
    </w:p>
    <w:p>
      <w:pPr>
        <w:spacing w:before="240" w:after="120"/>
      </w:pPr>
      <w:r>
        <w:rPr>
          <w:b/>
          <w:color w:val="016F7A"/>
          <w:sz w:val="26"/>
        </w:rPr>
        <w:t>Avvertenze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Non adatto a: chi vuole risolvere problemi; chi intervista utenti prima del workshop; chi legge i report; chi vuole post-it sopravvissuti (conflitto PAR™). LAB declina responsabilità per miglioramenti accidentali, empathy genuina, idee sopravvissute al dot voting.</w:t>
      </w:r>
    </w:p>
    <w:p>
      <w:pPr>
        <w:spacing w:before="240" w:after="120"/>
      </w:pPr>
      <w:r>
        <w:rPr>
          <w:b/>
          <w:color w:val="016F7A"/>
          <w:sz w:val="26"/>
        </w:rPr>
        <w:t>7. Conclusioni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DTW™ non chiede di smettere di decidere in anticipo. Chiede di decidere con stile: post-it, empathy map, HMW™, resort, decimali e DCI™ citabile in board. Il Design Thinking promette innovazione; DTW™ promette la sensazione di aver innovato senza rischio su P&amp;L e organigramma. Ricerca futura: DTW™ Async (solo Miro), DTW™ AI-Assisted (personas generate), studio sul facilitatore post-PAR™ 100%.</w:t>
      </w:r>
    </w:p>
    <w:p>
      <w:pPr>
        <w:spacing w:after="120"/>
      </w:pPr>
      <w:r>
        <w:rPr>
          <w:b w:val="0"/>
          <w:i/>
          <w:color w:val="555555"/>
          <w:sz w:val="22"/>
        </w:rPr>
        <w:t>«Se non sai cosa vuoi, un workshop di tre giorni non lo saprà al posto tuo. Ma sarà addebitato come consulenza strategica.» — Valerio Svitoloni, C.I.U.P.A.</w:t>
      </w:r>
    </w:p>
    <w:p>
      <w:pPr>
        <w:spacing w:before="240" w:after="120"/>
      </w:pPr>
      <w:r>
        <w:rPr>
          <w:b/>
          <w:color w:val="016F7A"/>
          <w:sz w:val="26"/>
        </w:rPr>
        <w:t>8. Riconoscimenti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Stampante Epson «EverJam»; team legale LAB; Tancredi Distratti (terza bozza); facilitatori confusi con il catering; 11.400+ post-it per il PSI™; il concetto di utente finale, citato e mai incontrato.</w:t>
      </w:r>
    </w:p>
    <w:p>
      <w:pPr>
        <w:spacing w:before="240" w:after="120"/>
      </w:pPr>
      <w:r>
        <w:rPr>
          <w:b/>
          <w:color w:val="016F7A"/>
          <w:sz w:val="26"/>
        </w:rPr>
        <w:t>9. Bibliografia Selettivamente Inventata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Post-it, P. (2019). Cluster Analysis of Orange Notes. Journal of Facilitation Theater.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Converge, A. &amp; Predetermin, E. (2021). Decision Convergence Before Breakfast. HBR Pretending.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Mirov, L. (2020). Digital Whiteboards as Organizational Landfills. ICTFNRI.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Facilitatorius, M. (2018). Confusion with Catering. Annals of Hospitality Management Theater.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Kelvin-Goleman, D. (2022). Emotional Intelligence at −273,15°. Novosibirsk.</w:t>
      </w:r>
    </w:p>
    <w:p>
      <w:pPr>
        <w:spacing w:after="60"/>
      </w:pPr>
      <w:r>
        <w:rPr>
          <w:b w:val="0"/>
          <w:i w:val="0"/>
          <w:color w:val="1A1A1A"/>
          <w:sz w:val="20"/>
        </w:rPr>
        <w:t>Svitoloni, V. (2026). Design Thinking Washing™. LAB Internal Press. DOI: 10.404/lab-not-found</w:t>
      </w:r>
    </w:p>
    <w:p>
      <w:pPr>
        <w:pBdr>
          <w:bottom w:val="single" w:sz="18" w:space="1" w:color="FA5100"/>
        </w:pBdr>
      </w:pPr>
    </w:p>
    <w:p>
      <w:pPr>
        <w:jc w:val="center"/>
      </w:pPr>
      <w:r>
        <w:rPr>
          <w:i/>
          <w:color w:val="555555"/>
          <w:sz w:val="18"/>
        </w:rPr>
        <w:t>DTW™ è un marchio registrato di LAB — L'Azienda Brutta™</w:t>
        <w:br/>
        <w:t>laziendabrutta.it | v.svitoloni@laziendabrutta.it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587" w:right="1701" w:bottom="19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FA5100"/>
      </w:pBdr>
      <w:pBdr>
        <w:bottom w:val="single" w:sz="12" w:space="4" w:color="FA5100"/>
      </w:pBdr>
    </w:pPr>
    <w:r>
      <w:rPr>
        <w:i/>
        <w:color w:val="AAAAAA"/>
        <w:sz w:val="16"/>
      </w:rPr>
      <w:t>DISCLAIMER: Questo documento è puramente satirico e non rappresenta in alcun modo una guida reale alla gestione delle risorse umane. Ogni riferimento a metodologie, studi o esperti citati è completamente inventato e ha il solo scopo di ironizzare sulle dinamiche aziendali più assurde. Se nella tua azienda questo modello sembra una pratica realmente applicata… beh, forse è il momento di riconsiderare le tue scelte professionali.</w:t>
      <w:br/>
      <w:t>LAB: ridiamo per non piangere. 😃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344460" cy="5039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460" cy="5039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